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1E808" w14:textId="77777777" w:rsidR="006154F6" w:rsidRPr="006154F6" w:rsidRDefault="008D0ADC" w:rsidP="008D0ADC">
      <w:pPr>
        <w:pStyle w:val="Heading2"/>
        <w:numPr>
          <w:ilvl w:val="1"/>
          <w:numId w:val="2"/>
        </w:numPr>
        <w:spacing w:before="0" w:after="0"/>
        <w:ind w:left="0" w:firstLine="0"/>
        <w:rPr>
          <w:color w:val="7D9BFF"/>
          <w:sz w:val="32"/>
          <w:szCs w:val="32"/>
        </w:rPr>
      </w:pPr>
      <w:r>
        <w:rPr>
          <w:color w:val="7D9BFF"/>
          <w:sz w:val="32"/>
          <w:szCs w:val="32"/>
        </w:rPr>
        <w:t xml:space="preserve">Distinction entre les enseignements </w:t>
      </w:r>
      <w:r>
        <w:rPr>
          <w:color w:val="7D9BFF"/>
          <w:sz w:val="32"/>
          <w:szCs w:val="32"/>
        </w:rPr>
        <w:br/>
        <w:t>de SES et de PFEG</w:t>
      </w:r>
    </w:p>
    <w:p w14:paraId="245F6FCC" w14:textId="77777777" w:rsidR="006154F6" w:rsidRPr="000829EE" w:rsidRDefault="006154F6" w:rsidP="006154F6">
      <w:pPr>
        <w:rPr>
          <w:rFonts w:ascii="Arial" w:hAnsi="Arial" w:cs="Arial"/>
          <w:sz w:val="22"/>
          <w:szCs w:val="22"/>
        </w:rPr>
      </w:pPr>
    </w:p>
    <w:tbl>
      <w:tblPr>
        <w:tblW w:w="9235" w:type="dxa"/>
        <w:tblInd w:w="43" w:type="dxa"/>
        <w:tblLayout w:type="fixed"/>
        <w:tblCellMar>
          <w:top w:w="60" w:type="dxa"/>
          <w:left w:w="60" w:type="dxa"/>
          <w:bottom w:w="60" w:type="dxa"/>
          <w:right w:w="60" w:type="dxa"/>
        </w:tblCellMar>
        <w:tblLook w:val="0000" w:firstRow="0" w:lastRow="0" w:firstColumn="0" w:lastColumn="0" w:noHBand="0" w:noVBand="0"/>
      </w:tblPr>
      <w:tblGrid>
        <w:gridCol w:w="1868"/>
        <w:gridCol w:w="7367"/>
      </w:tblGrid>
      <w:tr w:rsidR="006154F6" w:rsidRPr="000829EE" w14:paraId="7A4934AD" w14:textId="77777777" w:rsidTr="006154F6">
        <w:trPr>
          <w:trHeight w:val="225"/>
        </w:trPr>
        <w:tc>
          <w:tcPr>
            <w:tcW w:w="1868" w:type="dxa"/>
            <w:tcBorders>
              <w:top w:val="single" w:sz="4" w:space="0" w:color="000080"/>
              <w:left w:val="single" w:sz="4" w:space="0" w:color="000080"/>
              <w:bottom w:val="single" w:sz="4" w:space="0" w:color="000080"/>
            </w:tcBorders>
            <w:shd w:val="clear" w:color="auto" w:fill="6699CC"/>
            <w:vAlign w:val="center"/>
          </w:tcPr>
          <w:p w14:paraId="7C50A65E" w14:textId="77777777" w:rsidR="006154F6" w:rsidRPr="000829EE" w:rsidRDefault="006154F6" w:rsidP="006154F6">
            <w:pPr>
              <w:snapToGrid w:val="0"/>
              <w:jc w:val="center"/>
              <w:rPr>
                <w:rFonts w:ascii="Arial" w:hAnsi="Arial" w:cs="Arial"/>
                <w:color w:val="FFFFFF"/>
                <w:sz w:val="22"/>
                <w:szCs w:val="22"/>
              </w:rPr>
            </w:pPr>
            <w:r w:rsidRPr="000829EE">
              <w:rPr>
                <w:rFonts w:ascii="Arial" w:hAnsi="Arial" w:cs="Arial"/>
                <w:color w:val="FFFFFF"/>
                <w:sz w:val="22"/>
                <w:szCs w:val="22"/>
              </w:rPr>
              <w:t>Propriétés</w:t>
            </w:r>
          </w:p>
        </w:tc>
        <w:tc>
          <w:tcPr>
            <w:tcW w:w="7367" w:type="dxa"/>
            <w:tcBorders>
              <w:top w:val="single" w:sz="4" w:space="0" w:color="000080"/>
              <w:left w:val="single" w:sz="4" w:space="0" w:color="000080"/>
              <w:bottom w:val="single" w:sz="4" w:space="0" w:color="000080"/>
              <w:right w:val="single" w:sz="4" w:space="0" w:color="000080"/>
            </w:tcBorders>
            <w:shd w:val="clear" w:color="auto" w:fill="6699CC"/>
            <w:vAlign w:val="center"/>
          </w:tcPr>
          <w:p w14:paraId="3D0B6C5E" w14:textId="77777777" w:rsidR="006154F6" w:rsidRPr="000829EE" w:rsidRDefault="006154F6" w:rsidP="006154F6">
            <w:pPr>
              <w:snapToGrid w:val="0"/>
              <w:jc w:val="center"/>
              <w:rPr>
                <w:rFonts w:ascii="Arial" w:hAnsi="Arial" w:cs="Arial"/>
                <w:color w:val="FFFFFF"/>
                <w:sz w:val="22"/>
                <w:szCs w:val="22"/>
              </w:rPr>
            </w:pPr>
            <w:r w:rsidRPr="000829EE">
              <w:rPr>
                <w:rFonts w:ascii="Arial" w:hAnsi="Arial" w:cs="Arial"/>
                <w:color w:val="FFFFFF"/>
                <w:sz w:val="22"/>
                <w:szCs w:val="22"/>
              </w:rPr>
              <w:t>Description</w:t>
            </w:r>
          </w:p>
        </w:tc>
      </w:tr>
      <w:tr w:rsidR="006154F6" w:rsidRPr="000829EE" w14:paraId="0019D6CF" w14:textId="77777777" w:rsidTr="006154F6">
        <w:trPr>
          <w:cantSplit/>
        </w:trPr>
        <w:tc>
          <w:tcPr>
            <w:tcW w:w="1868" w:type="dxa"/>
            <w:tcBorders>
              <w:top w:val="single" w:sz="4" w:space="0" w:color="000080"/>
              <w:left w:val="single" w:sz="4" w:space="0" w:color="000080"/>
              <w:bottom w:val="single" w:sz="4" w:space="0" w:color="000080"/>
            </w:tcBorders>
          </w:tcPr>
          <w:p w14:paraId="6576CB94"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Intitulé court</w:t>
            </w:r>
          </w:p>
        </w:tc>
        <w:tc>
          <w:tcPr>
            <w:tcW w:w="7367" w:type="dxa"/>
            <w:tcBorders>
              <w:top w:val="single" w:sz="4" w:space="0" w:color="000080"/>
              <w:left w:val="single" w:sz="4" w:space="0" w:color="000080"/>
              <w:bottom w:val="single" w:sz="4" w:space="0" w:color="000080"/>
              <w:right w:val="single" w:sz="4" w:space="0" w:color="000080"/>
            </w:tcBorders>
          </w:tcPr>
          <w:p w14:paraId="196CDAFD" w14:textId="77777777" w:rsidR="006154F6" w:rsidRPr="00F9650B" w:rsidRDefault="008D0ADC" w:rsidP="006154F6">
            <w:pPr>
              <w:rPr>
                <w:rFonts w:ascii="Arial" w:hAnsi="Arial" w:cs="Arial"/>
                <w:color w:val="000080"/>
                <w:sz w:val="22"/>
                <w:szCs w:val="22"/>
              </w:rPr>
            </w:pPr>
            <w:r>
              <w:rPr>
                <w:rFonts w:ascii="Arial" w:hAnsi="Arial" w:cs="Arial"/>
                <w:color w:val="000080"/>
                <w:sz w:val="22"/>
                <w:szCs w:val="22"/>
              </w:rPr>
              <w:t>Distinction entre les enseignements de SES et de PFEG</w:t>
            </w:r>
          </w:p>
        </w:tc>
      </w:tr>
      <w:tr w:rsidR="006154F6" w:rsidRPr="000829EE" w14:paraId="59CFB265" w14:textId="77777777" w:rsidTr="006154F6">
        <w:trPr>
          <w:cantSplit/>
        </w:trPr>
        <w:tc>
          <w:tcPr>
            <w:tcW w:w="1868" w:type="dxa"/>
            <w:tcBorders>
              <w:top w:val="single" w:sz="4" w:space="0" w:color="000080"/>
              <w:left w:val="single" w:sz="4" w:space="0" w:color="000080"/>
              <w:bottom w:val="single" w:sz="4" w:space="0" w:color="000080"/>
            </w:tcBorders>
          </w:tcPr>
          <w:p w14:paraId="7A526DD5"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Intitulé long</w:t>
            </w:r>
          </w:p>
        </w:tc>
        <w:tc>
          <w:tcPr>
            <w:tcW w:w="7367" w:type="dxa"/>
            <w:tcBorders>
              <w:top w:val="single" w:sz="4" w:space="0" w:color="000080"/>
              <w:left w:val="single" w:sz="4" w:space="0" w:color="000080"/>
              <w:bottom w:val="single" w:sz="4" w:space="0" w:color="000080"/>
              <w:right w:val="single" w:sz="4" w:space="0" w:color="000080"/>
            </w:tcBorders>
          </w:tcPr>
          <w:p w14:paraId="474C6BC8" w14:textId="77777777" w:rsidR="006154F6" w:rsidRPr="00F9650B" w:rsidRDefault="006154F6" w:rsidP="006154F6">
            <w:pPr>
              <w:autoSpaceDE w:val="0"/>
              <w:autoSpaceDN w:val="0"/>
              <w:adjustRightInd w:val="0"/>
              <w:jc w:val="both"/>
              <w:rPr>
                <w:rFonts w:ascii="Arial" w:hAnsi="Arial" w:cs="Arial"/>
                <w:color w:val="000080"/>
                <w:sz w:val="22"/>
                <w:szCs w:val="22"/>
              </w:rPr>
            </w:pPr>
            <w:r>
              <w:rPr>
                <w:rFonts w:ascii="Arial" w:hAnsi="Arial" w:cs="Arial"/>
                <w:color w:val="000080"/>
                <w:sz w:val="22"/>
                <w:szCs w:val="22"/>
              </w:rPr>
              <w:t>Diaporama « </w:t>
            </w:r>
            <w:r w:rsidR="008D0ADC">
              <w:rPr>
                <w:rFonts w:ascii="Arial" w:hAnsi="Arial" w:cs="Arial"/>
                <w:color w:val="000080"/>
                <w:sz w:val="22"/>
                <w:szCs w:val="22"/>
              </w:rPr>
              <w:t xml:space="preserve">Distinction entre les enseignements de SES et de PFEG </w:t>
            </w:r>
            <w:r>
              <w:rPr>
                <w:rFonts w:ascii="Arial" w:hAnsi="Arial" w:cs="Arial"/>
                <w:color w:val="000080"/>
                <w:sz w:val="22"/>
                <w:szCs w:val="22"/>
              </w:rPr>
              <w:t>» présenté lors du séminaire national PFEG des 14 et 15 mai 2012 au lycée Voltaire à Paris.</w:t>
            </w:r>
          </w:p>
        </w:tc>
      </w:tr>
      <w:tr w:rsidR="006154F6" w:rsidRPr="000829EE" w14:paraId="4127AD84" w14:textId="77777777" w:rsidTr="006154F6">
        <w:trPr>
          <w:cantSplit/>
        </w:trPr>
        <w:tc>
          <w:tcPr>
            <w:tcW w:w="1868" w:type="dxa"/>
            <w:tcBorders>
              <w:top w:val="single" w:sz="4" w:space="0" w:color="000080"/>
              <w:left w:val="single" w:sz="4" w:space="0" w:color="000080"/>
              <w:bottom w:val="single" w:sz="4" w:space="0" w:color="000080"/>
            </w:tcBorders>
          </w:tcPr>
          <w:p w14:paraId="0FFBA543"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Date de publication</w:t>
            </w:r>
          </w:p>
        </w:tc>
        <w:tc>
          <w:tcPr>
            <w:tcW w:w="7367" w:type="dxa"/>
            <w:tcBorders>
              <w:top w:val="single" w:sz="4" w:space="0" w:color="000080"/>
              <w:left w:val="single" w:sz="4" w:space="0" w:color="000080"/>
              <w:bottom w:val="single" w:sz="4" w:space="0" w:color="000080"/>
              <w:right w:val="single" w:sz="4" w:space="0" w:color="000080"/>
            </w:tcBorders>
          </w:tcPr>
          <w:p w14:paraId="43FFA347" w14:textId="77777777" w:rsidR="006154F6" w:rsidRPr="00F9650B" w:rsidRDefault="006154F6" w:rsidP="006154F6">
            <w:pPr>
              <w:snapToGrid w:val="0"/>
              <w:rPr>
                <w:rFonts w:ascii="Arial" w:hAnsi="Arial" w:cs="Arial"/>
                <w:color w:val="000080"/>
                <w:sz w:val="22"/>
                <w:szCs w:val="22"/>
              </w:rPr>
            </w:pPr>
            <w:r>
              <w:rPr>
                <w:rFonts w:ascii="Arial" w:hAnsi="Arial" w:cs="Arial"/>
                <w:color w:val="000080"/>
                <w:sz w:val="22"/>
                <w:szCs w:val="22"/>
              </w:rPr>
              <w:t>24/05</w:t>
            </w:r>
            <w:r w:rsidRPr="00F9650B">
              <w:rPr>
                <w:rFonts w:ascii="Arial" w:hAnsi="Arial" w:cs="Arial"/>
                <w:color w:val="000080"/>
                <w:sz w:val="22"/>
                <w:szCs w:val="22"/>
              </w:rPr>
              <w:t>/2012</w:t>
            </w:r>
          </w:p>
        </w:tc>
      </w:tr>
      <w:tr w:rsidR="006154F6" w:rsidRPr="000829EE" w14:paraId="61468F80" w14:textId="77777777" w:rsidTr="006154F6">
        <w:trPr>
          <w:cantSplit/>
        </w:trPr>
        <w:tc>
          <w:tcPr>
            <w:tcW w:w="1868" w:type="dxa"/>
            <w:tcBorders>
              <w:top w:val="single" w:sz="4" w:space="0" w:color="000080"/>
              <w:left w:val="single" w:sz="4" w:space="0" w:color="000080"/>
              <w:bottom w:val="single" w:sz="4" w:space="0" w:color="000080"/>
            </w:tcBorders>
          </w:tcPr>
          <w:p w14:paraId="2A3868D0"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Dernière modification</w:t>
            </w:r>
          </w:p>
        </w:tc>
        <w:tc>
          <w:tcPr>
            <w:tcW w:w="7367" w:type="dxa"/>
            <w:tcBorders>
              <w:top w:val="single" w:sz="4" w:space="0" w:color="000080"/>
              <w:left w:val="single" w:sz="4" w:space="0" w:color="000080"/>
              <w:bottom w:val="single" w:sz="4" w:space="0" w:color="000080"/>
              <w:right w:val="single" w:sz="4" w:space="0" w:color="000080"/>
            </w:tcBorders>
          </w:tcPr>
          <w:p w14:paraId="5119AE75" w14:textId="77777777" w:rsidR="006154F6" w:rsidRPr="00F9650B" w:rsidRDefault="006154F6" w:rsidP="008D0ADC">
            <w:pPr>
              <w:snapToGrid w:val="0"/>
              <w:rPr>
                <w:rFonts w:ascii="Arial" w:hAnsi="Arial" w:cs="Arial"/>
                <w:color w:val="000080"/>
                <w:sz w:val="22"/>
                <w:szCs w:val="22"/>
              </w:rPr>
            </w:pPr>
            <w:r>
              <w:rPr>
                <w:rFonts w:ascii="Arial" w:hAnsi="Arial" w:cs="Arial"/>
                <w:color w:val="000080"/>
                <w:sz w:val="22"/>
                <w:szCs w:val="22"/>
              </w:rPr>
              <w:t>1</w:t>
            </w:r>
            <w:r w:rsidR="008D0ADC">
              <w:rPr>
                <w:rFonts w:ascii="Arial" w:hAnsi="Arial" w:cs="Arial"/>
                <w:color w:val="000080"/>
                <w:sz w:val="22"/>
                <w:szCs w:val="22"/>
              </w:rPr>
              <w:t>5</w:t>
            </w:r>
            <w:r>
              <w:rPr>
                <w:rFonts w:ascii="Arial" w:hAnsi="Arial" w:cs="Arial"/>
                <w:color w:val="000080"/>
                <w:sz w:val="22"/>
                <w:szCs w:val="22"/>
              </w:rPr>
              <w:t>/05/2012</w:t>
            </w:r>
          </w:p>
        </w:tc>
      </w:tr>
      <w:tr w:rsidR="006154F6" w:rsidRPr="000829EE" w14:paraId="0EEDFD78" w14:textId="77777777" w:rsidTr="006154F6">
        <w:trPr>
          <w:cantSplit/>
        </w:trPr>
        <w:tc>
          <w:tcPr>
            <w:tcW w:w="1868" w:type="dxa"/>
            <w:tcBorders>
              <w:top w:val="single" w:sz="4" w:space="0" w:color="000080"/>
              <w:left w:val="single" w:sz="4" w:space="0" w:color="000080"/>
              <w:bottom w:val="single" w:sz="4" w:space="0" w:color="000080"/>
            </w:tcBorders>
          </w:tcPr>
          <w:p w14:paraId="6AFC08E6"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Version</w:t>
            </w:r>
          </w:p>
        </w:tc>
        <w:tc>
          <w:tcPr>
            <w:tcW w:w="7367" w:type="dxa"/>
            <w:tcBorders>
              <w:top w:val="single" w:sz="4" w:space="0" w:color="000080"/>
              <w:left w:val="single" w:sz="4" w:space="0" w:color="000080"/>
              <w:bottom w:val="single" w:sz="4" w:space="0" w:color="000080"/>
              <w:right w:val="single" w:sz="4" w:space="0" w:color="000080"/>
            </w:tcBorders>
          </w:tcPr>
          <w:p w14:paraId="61EE52DE" w14:textId="77777777" w:rsidR="006154F6" w:rsidRPr="00F9650B" w:rsidRDefault="006154F6" w:rsidP="006154F6">
            <w:pPr>
              <w:snapToGrid w:val="0"/>
              <w:rPr>
                <w:rFonts w:ascii="Arial" w:hAnsi="Arial" w:cs="Arial"/>
                <w:color w:val="000080"/>
                <w:sz w:val="22"/>
                <w:szCs w:val="22"/>
              </w:rPr>
            </w:pPr>
            <w:r w:rsidRPr="00F9650B">
              <w:rPr>
                <w:rFonts w:ascii="Arial" w:hAnsi="Arial" w:cs="Arial"/>
                <w:color w:val="000080"/>
                <w:sz w:val="22"/>
                <w:szCs w:val="22"/>
              </w:rPr>
              <w:t>v 1.0</w:t>
            </w:r>
          </w:p>
        </w:tc>
      </w:tr>
      <w:tr w:rsidR="006154F6" w:rsidRPr="000829EE" w14:paraId="14F326D2" w14:textId="77777777" w:rsidTr="006154F6">
        <w:trPr>
          <w:cantSplit/>
        </w:trPr>
        <w:tc>
          <w:tcPr>
            <w:tcW w:w="1868" w:type="dxa"/>
            <w:tcBorders>
              <w:top w:val="single" w:sz="4" w:space="0" w:color="000080"/>
              <w:left w:val="single" w:sz="4" w:space="0" w:color="000080"/>
              <w:bottom w:val="single" w:sz="4" w:space="0" w:color="000080"/>
            </w:tcBorders>
          </w:tcPr>
          <w:p w14:paraId="5B21B0DF"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Présentation</w:t>
            </w:r>
          </w:p>
        </w:tc>
        <w:tc>
          <w:tcPr>
            <w:tcW w:w="7367" w:type="dxa"/>
            <w:tcBorders>
              <w:top w:val="single" w:sz="4" w:space="0" w:color="000080"/>
              <w:left w:val="single" w:sz="4" w:space="0" w:color="000080"/>
              <w:bottom w:val="single" w:sz="4" w:space="0" w:color="000080"/>
              <w:right w:val="single" w:sz="4" w:space="0" w:color="000080"/>
            </w:tcBorders>
          </w:tcPr>
          <w:p w14:paraId="368B3168" w14:textId="77777777" w:rsidR="006154F6" w:rsidRPr="00F9650B" w:rsidRDefault="008D0ADC" w:rsidP="006154F6">
            <w:pPr>
              <w:snapToGrid w:val="0"/>
              <w:rPr>
                <w:rFonts w:ascii="Arial" w:hAnsi="Arial" w:cs="Arial"/>
                <w:color w:val="000080"/>
                <w:sz w:val="22"/>
                <w:szCs w:val="22"/>
              </w:rPr>
            </w:pPr>
            <w:r>
              <w:rPr>
                <w:rFonts w:ascii="Arial" w:hAnsi="Arial" w:cs="Arial"/>
                <w:color w:val="000080"/>
                <w:sz w:val="22"/>
                <w:szCs w:val="22"/>
              </w:rPr>
              <w:t>Mise en lumière des points communs et des différences entre les programmes d’enseignement d’exploration de Sciences Economiques et Sociales et de Principes Fondamentaux de l’Economie et de la Gestion.</w:t>
            </w:r>
          </w:p>
        </w:tc>
      </w:tr>
      <w:tr w:rsidR="006154F6" w:rsidRPr="000829EE" w14:paraId="719777B3" w14:textId="77777777" w:rsidTr="006154F6">
        <w:trPr>
          <w:cantSplit/>
        </w:trPr>
        <w:tc>
          <w:tcPr>
            <w:tcW w:w="1868" w:type="dxa"/>
            <w:tcBorders>
              <w:top w:val="single" w:sz="4" w:space="0" w:color="000080"/>
              <w:left w:val="single" w:sz="4" w:space="0" w:color="000080"/>
              <w:bottom w:val="single" w:sz="4" w:space="0" w:color="000080"/>
            </w:tcBorders>
          </w:tcPr>
          <w:p w14:paraId="4F24F711"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Formation concernée</w:t>
            </w:r>
          </w:p>
        </w:tc>
        <w:tc>
          <w:tcPr>
            <w:tcW w:w="7367" w:type="dxa"/>
            <w:tcBorders>
              <w:top w:val="single" w:sz="4" w:space="0" w:color="000080"/>
              <w:left w:val="single" w:sz="4" w:space="0" w:color="000080"/>
              <w:bottom w:val="single" w:sz="4" w:space="0" w:color="000080"/>
              <w:right w:val="single" w:sz="4" w:space="0" w:color="000080"/>
            </w:tcBorders>
          </w:tcPr>
          <w:p w14:paraId="58272A88" w14:textId="77777777" w:rsidR="006154F6" w:rsidRPr="00F9650B" w:rsidRDefault="006154F6" w:rsidP="006154F6">
            <w:pPr>
              <w:snapToGrid w:val="0"/>
              <w:rPr>
                <w:rFonts w:ascii="Arial" w:hAnsi="Arial" w:cs="Arial"/>
                <w:color w:val="000080"/>
                <w:sz w:val="22"/>
                <w:szCs w:val="22"/>
              </w:rPr>
            </w:pPr>
            <w:r w:rsidRPr="00F9650B">
              <w:rPr>
                <w:rFonts w:ascii="Arial" w:hAnsi="Arial" w:cs="Arial"/>
                <w:color w:val="000080"/>
                <w:sz w:val="22"/>
                <w:szCs w:val="22"/>
              </w:rPr>
              <w:t>Principes fondamentaux de l'économie et de la gestion</w:t>
            </w:r>
          </w:p>
        </w:tc>
      </w:tr>
      <w:tr w:rsidR="006154F6" w:rsidRPr="000829EE" w14:paraId="22D9B6D4" w14:textId="77777777" w:rsidTr="006154F6">
        <w:trPr>
          <w:cantSplit/>
        </w:trPr>
        <w:tc>
          <w:tcPr>
            <w:tcW w:w="1868" w:type="dxa"/>
            <w:tcBorders>
              <w:top w:val="single" w:sz="4" w:space="0" w:color="000080"/>
              <w:left w:val="single" w:sz="4" w:space="0" w:color="000080"/>
              <w:bottom w:val="single" w:sz="4" w:space="0" w:color="000080"/>
            </w:tcBorders>
          </w:tcPr>
          <w:p w14:paraId="5AD7F521"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Public concerné</w:t>
            </w:r>
          </w:p>
        </w:tc>
        <w:tc>
          <w:tcPr>
            <w:tcW w:w="7367" w:type="dxa"/>
            <w:tcBorders>
              <w:top w:val="single" w:sz="4" w:space="0" w:color="000080"/>
              <w:left w:val="single" w:sz="4" w:space="0" w:color="000080"/>
              <w:bottom w:val="single" w:sz="4" w:space="0" w:color="000080"/>
              <w:right w:val="single" w:sz="4" w:space="0" w:color="000080"/>
            </w:tcBorders>
          </w:tcPr>
          <w:p w14:paraId="29E3CA6E" w14:textId="77777777" w:rsidR="006154F6" w:rsidRPr="00F9650B" w:rsidRDefault="006154F6" w:rsidP="006154F6">
            <w:pPr>
              <w:snapToGrid w:val="0"/>
              <w:rPr>
                <w:rFonts w:ascii="Arial" w:hAnsi="Arial" w:cs="Arial"/>
                <w:color w:val="000080"/>
                <w:sz w:val="22"/>
                <w:szCs w:val="22"/>
              </w:rPr>
            </w:pPr>
            <w:r>
              <w:rPr>
                <w:rFonts w:ascii="Arial" w:hAnsi="Arial" w:cs="Arial"/>
                <w:color w:val="000080"/>
                <w:sz w:val="22"/>
                <w:szCs w:val="22"/>
              </w:rPr>
              <w:t>Enseignants de PFEG</w:t>
            </w:r>
          </w:p>
        </w:tc>
      </w:tr>
      <w:tr w:rsidR="006154F6" w:rsidRPr="000829EE" w14:paraId="0B1CE7F9" w14:textId="77777777" w:rsidTr="006154F6">
        <w:trPr>
          <w:cantSplit/>
        </w:trPr>
        <w:tc>
          <w:tcPr>
            <w:tcW w:w="1868" w:type="dxa"/>
            <w:tcBorders>
              <w:top w:val="single" w:sz="4" w:space="0" w:color="000080"/>
              <w:left w:val="single" w:sz="4" w:space="0" w:color="000080"/>
              <w:bottom w:val="single" w:sz="4" w:space="0" w:color="000080"/>
            </w:tcBorders>
          </w:tcPr>
          <w:p w14:paraId="1547A6D4"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Matière</w:t>
            </w:r>
          </w:p>
        </w:tc>
        <w:tc>
          <w:tcPr>
            <w:tcW w:w="7367" w:type="dxa"/>
            <w:tcBorders>
              <w:top w:val="single" w:sz="4" w:space="0" w:color="000080"/>
              <w:left w:val="single" w:sz="4" w:space="0" w:color="000080"/>
              <w:bottom w:val="single" w:sz="4" w:space="0" w:color="000080"/>
              <w:right w:val="single" w:sz="4" w:space="0" w:color="000080"/>
            </w:tcBorders>
          </w:tcPr>
          <w:p w14:paraId="78D7D540" w14:textId="77777777" w:rsidR="006154F6" w:rsidRPr="00F9650B" w:rsidRDefault="006154F6" w:rsidP="006154F6">
            <w:pPr>
              <w:snapToGrid w:val="0"/>
              <w:rPr>
                <w:rFonts w:ascii="Arial" w:hAnsi="Arial" w:cs="Arial"/>
                <w:color w:val="000080"/>
                <w:sz w:val="22"/>
                <w:szCs w:val="22"/>
              </w:rPr>
            </w:pPr>
            <w:r w:rsidRPr="00F9650B">
              <w:rPr>
                <w:rFonts w:ascii="Arial" w:hAnsi="Arial" w:cs="Arial"/>
                <w:color w:val="000080"/>
                <w:sz w:val="22"/>
                <w:szCs w:val="22"/>
              </w:rPr>
              <w:t>Principes fondamentaux de l'économie et de la gestion</w:t>
            </w:r>
          </w:p>
        </w:tc>
      </w:tr>
      <w:tr w:rsidR="006154F6" w:rsidRPr="000829EE" w14:paraId="0026334D" w14:textId="77777777" w:rsidTr="006154F6">
        <w:trPr>
          <w:cantSplit/>
        </w:trPr>
        <w:tc>
          <w:tcPr>
            <w:tcW w:w="1868" w:type="dxa"/>
            <w:tcBorders>
              <w:top w:val="single" w:sz="4" w:space="0" w:color="000080"/>
              <w:left w:val="single" w:sz="4" w:space="0" w:color="000080"/>
              <w:bottom w:val="single" w:sz="4" w:space="0" w:color="000080"/>
            </w:tcBorders>
          </w:tcPr>
          <w:p w14:paraId="6EFBE856"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Objectifs</w:t>
            </w:r>
          </w:p>
        </w:tc>
        <w:tc>
          <w:tcPr>
            <w:tcW w:w="7367" w:type="dxa"/>
            <w:tcBorders>
              <w:top w:val="single" w:sz="4" w:space="0" w:color="000080"/>
              <w:left w:val="single" w:sz="4" w:space="0" w:color="000080"/>
              <w:bottom w:val="single" w:sz="4" w:space="0" w:color="000080"/>
              <w:right w:val="single" w:sz="4" w:space="0" w:color="000080"/>
            </w:tcBorders>
          </w:tcPr>
          <w:p w14:paraId="510D23E0" w14:textId="77777777" w:rsidR="006154F6" w:rsidRPr="00F9650B" w:rsidRDefault="008D0ADC" w:rsidP="003A6172">
            <w:pPr>
              <w:rPr>
                <w:rFonts w:ascii="Arial" w:hAnsi="Arial" w:cs="Arial"/>
                <w:color w:val="000080"/>
                <w:sz w:val="22"/>
                <w:szCs w:val="22"/>
              </w:rPr>
            </w:pPr>
            <w:r>
              <w:rPr>
                <w:rFonts w:ascii="Arial" w:hAnsi="Arial" w:cs="Arial"/>
                <w:color w:val="000080"/>
                <w:sz w:val="22"/>
                <w:szCs w:val="22"/>
              </w:rPr>
              <w:t>Permettre aux équipes pédagogiques de mieux</w:t>
            </w:r>
            <w:r w:rsidR="003A6172">
              <w:rPr>
                <w:rFonts w:ascii="Arial" w:hAnsi="Arial" w:cs="Arial"/>
                <w:color w:val="000080"/>
                <w:sz w:val="22"/>
                <w:szCs w:val="22"/>
              </w:rPr>
              <w:t xml:space="preserve"> comprendre le positionnement relatif des deux enseignements d’exploration économiques. Proposer des pistes de réflexion pour les établissements qui s’engagent dans l’expérimentation d’un enseignement d’exploration économique de synthèse entre SES et PFEG.</w:t>
            </w:r>
          </w:p>
        </w:tc>
      </w:tr>
      <w:tr w:rsidR="006154F6" w:rsidRPr="000829EE" w14:paraId="58F35B4A" w14:textId="77777777" w:rsidTr="006154F6">
        <w:trPr>
          <w:cantSplit/>
        </w:trPr>
        <w:tc>
          <w:tcPr>
            <w:tcW w:w="1868" w:type="dxa"/>
            <w:tcBorders>
              <w:top w:val="single" w:sz="4" w:space="0" w:color="000080"/>
              <w:left w:val="single" w:sz="4" w:space="0" w:color="000080"/>
              <w:bottom w:val="single" w:sz="4" w:space="0" w:color="000080"/>
            </w:tcBorders>
          </w:tcPr>
          <w:p w14:paraId="548ACC2A"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Mots-clés</w:t>
            </w:r>
          </w:p>
        </w:tc>
        <w:tc>
          <w:tcPr>
            <w:tcW w:w="7367" w:type="dxa"/>
            <w:tcBorders>
              <w:top w:val="single" w:sz="4" w:space="0" w:color="000080"/>
              <w:left w:val="single" w:sz="4" w:space="0" w:color="000080"/>
              <w:bottom w:val="single" w:sz="4" w:space="0" w:color="000080"/>
              <w:right w:val="single" w:sz="4" w:space="0" w:color="000080"/>
            </w:tcBorders>
          </w:tcPr>
          <w:p w14:paraId="6BC75421" w14:textId="77777777" w:rsidR="006154F6" w:rsidRPr="00F9650B" w:rsidRDefault="003A6172" w:rsidP="006154F6">
            <w:pPr>
              <w:snapToGrid w:val="0"/>
              <w:rPr>
                <w:rFonts w:ascii="Arial" w:hAnsi="Arial" w:cs="Arial"/>
                <w:color w:val="000080"/>
                <w:sz w:val="22"/>
                <w:szCs w:val="22"/>
              </w:rPr>
            </w:pPr>
            <w:r>
              <w:rPr>
                <w:rFonts w:ascii="Arial" w:hAnsi="Arial" w:cs="Arial"/>
                <w:color w:val="000080"/>
                <w:sz w:val="22"/>
                <w:szCs w:val="22"/>
              </w:rPr>
              <w:t>PFEG, SES</w:t>
            </w:r>
            <w:bookmarkStart w:id="0" w:name="_GoBack"/>
            <w:bookmarkEnd w:id="0"/>
          </w:p>
        </w:tc>
      </w:tr>
      <w:tr w:rsidR="006154F6" w:rsidRPr="000829EE" w14:paraId="5DA359C3" w14:textId="77777777" w:rsidTr="006154F6">
        <w:trPr>
          <w:cantSplit/>
        </w:trPr>
        <w:tc>
          <w:tcPr>
            <w:tcW w:w="1868" w:type="dxa"/>
            <w:tcBorders>
              <w:top w:val="single" w:sz="4" w:space="0" w:color="000080"/>
              <w:left w:val="single" w:sz="4" w:space="0" w:color="000080"/>
              <w:bottom w:val="single" w:sz="4" w:space="0" w:color="000080"/>
            </w:tcBorders>
          </w:tcPr>
          <w:p w14:paraId="0B0215E7" w14:textId="77777777" w:rsidR="006154F6" w:rsidRPr="000829EE" w:rsidRDefault="006154F6" w:rsidP="006154F6">
            <w:pPr>
              <w:snapToGrid w:val="0"/>
              <w:rPr>
                <w:rFonts w:ascii="Arial" w:hAnsi="Arial" w:cs="Arial"/>
                <w:b/>
                <w:bCs/>
                <w:color w:val="990033"/>
                <w:sz w:val="22"/>
                <w:szCs w:val="22"/>
              </w:rPr>
            </w:pPr>
            <w:r w:rsidRPr="000829EE">
              <w:rPr>
                <w:rFonts w:ascii="Arial" w:hAnsi="Arial" w:cs="Arial"/>
                <w:b/>
                <w:bCs/>
                <w:color w:val="990033"/>
                <w:sz w:val="22"/>
                <w:szCs w:val="22"/>
              </w:rPr>
              <w:t>Auteur</w:t>
            </w:r>
          </w:p>
        </w:tc>
        <w:tc>
          <w:tcPr>
            <w:tcW w:w="7367" w:type="dxa"/>
            <w:tcBorders>
              <w:top w:val="single" w:sz="4" w:space="0" w:color="000080"/>
              <w:left w:val="single" w:sz="4" w:space="0" w:color="000080"/>
              <w:bottom w:val="single" w:sz="4" w:space="0" w:color="000080"/>
              <w:right w:val="single" w:sz="4" w:space="0" w:color="000080"/>
            </w:tcBorders>
          </w:tcPr>
          <w:p w14:paraId="6A0F0799" w14:textId="77777777" w:rsidR="006154F6" w:rsidRPr="00F9650B" w:rsidRDefault="008D0ADC" w:rsidP="006154F6">
            <w:pPr>
              <w:snapToGrid w:val="0"/>
              <w:rPr>
                <w:rFonts w:ascii="Arial" w:hAnsi="Arial" w:cs="Arial"/>
                <w:color w:val="000080"/>
                <w:sz w:val="22"/>
                <w:szCs w:val="22"/>
              </w:rPr>
            </w:pPr>
            <w:r>
              <w:rPr>
                <w:rFonts w:ascii="Arial" w:hAnsi="Arial" w:cs="Arial"/>
                <w:color w:val="000080"/>
                <w:sz w:val="22"/>
                <w:szCs w:val="22"/>
              </w:rPr>
              <w:t>Vincent Camet, IA-IPR, Académie de Lille</w:t>
            </w:r>
          </w:p>
        </w:tc>
      </w:tr>
      <w:tr w:rsidR="006154F6" w:rsidRPr="000829EE" w14:paraId="04FCEB96" w14:textId="77777777" w:rsidTr="006154F6">
        <w:trPr>
          <w:cantSplit/>
        </w:trPr>
        <w:tc>
          <w:tcPr>
            <w:tcW w:w="1868" w:type="dxa"/>
            <w:tcBorders>
              <w:top w:val="single" w:sz="4" w:space="0" w:color="000080"/>
              <w:left w:val="single" w:sz="4" w:space="0" w:color="000080"/>
              <w:bottom w:val="single" w:sz="4" w:space="0" w:color="000080"/>
            </w:tcBorders>
          </w:tcPr>
          <w:p w14:paraId="5EB77E3B" w14:textId="77777777" w:rsidR="006154F6" w:rsidRPr="000829EE" w:rsidRDefault="006154F6" w:rsidP="006154F6">
            <w:pPr>
              <w:snapToGrid w:val="0"/>
              <w:rPr>
                <w:rFonts w:ascii="Arial" w:hAnsi="Arial" w:cs="Arial"/>
                <w:b/>
                <w:bCs/>
                <w:color w:val="990033"/>
                <w:sz w:val="22"/>
                <w:szCs w:val="22"/>
              </w:rPr>
            </w:pPr>
            <w:r>
              <w:rPr>
                <w:rFonts w:ascii="Arial" w:hAnsi="Arial" w:cs="Arial"/>
                <w:b/>
                <w:bCs/>
                <w:color w:val="990033"/>
                <w:sz w:val="22"/>
                <w:szCs w:val="22"/>
              </w:rPr>
              <w:t>Présentation vidéo</w:t>
            </w:r>
          </w:p>
        </w:tc>
        <w:tc>
          <w:tcPr>
            <w:tcW w:w="7367" w:type="dxa"/>
            <w:tcBorders>
              <w:top w:val="single" w:sz="4" w:space="0" w:color="000080"/>
              <w:left w:val="single" w:sz="4" w:space="0" w:color="000080"/>
              <w:bottom w:val="single" w:sz="4" w:space="0" w:color="000080"/>
              <w:right w:val="single" w:sz="4" w:space="0" w:color="000080"/>
            </w:tcBorders>
          </w:tcPr>
          <w:p w14:paraId="407288F5" w14:textId="77777777" w:rsidR="006154F6" w:rsidRPr="00F9650B" w:rsidRDefault="006154F6" w:rsidP="006154F6">
            <w:pPr>
              <w:snapToGrid w:val="0"/>
              <w:rPr>
                <w:rFonts w:ascii="Arial" w:hAnsi="Arial" w:cs="Arial"/>
                <w:color w:val="000080"/>
                <w:sz w:val="22"/>
                <w:szCs w:val="22"/>
              </w:rPr>
            </w:pPr>
            <w:r>
              <w:rPr>
                <w:rFonts w:ascii="Arial" w:hAnsi="Arial" w:cs="Arial"/>
                <w:color w:val="000080"/>
                <w:sz w:val="22"/>
                <w:szCs w:val="22"/>
              </w:rPr>
              <w:t>A venir</w:t>
            </w:r>
          </w:p>
        </w:tc>
      </w:tr>
    </w:tbl>
    <w:p w14:paraId="75E67F07" w14:textId="77777777" w:rsidR="0015159B" w:rsidRDefault="0015159B"/>
    <w:sectPr w:rsidR="0015159B" w:rsidSect="006E292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087F63"/>
    <w:multiLevelType w:val="hybridMultilevel"/>
    <w:tmpl w:val="B218CC8C"/>
    <w:lvl w:ilvl="0" w:tplc="D8D4FF9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4F6"/>
    <w:rsid w:val="0015159B"/>
    <w:rsid w:val="003A6172"/>
    <w:rsid w:val="005B25AE"/>
    <w:rsid w:val="006154F6"/>
    <w:rsid w:val="006E2921"/>
    <w:rsid w:val="00854C7B"/>
    <w:rsid w:val="008D0AD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CB63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4F6"/>
    <w:rPr>
      <w:rFonts w:ascii="Times New Roman" w:eastAsia="Times New Roman" w:hAnsi="Times New Roman" w:cs="Times New Roman"/>
      <w:lang w:eastAsia="fr-FR"/>
    </w:rPr>
  </w:style>
  <w:style w:type="paragraph" w:styleId="Heading2">
    <w:name w:val="heading 2"/>
    <w:basedOn w:val="Normal"/>
    <w:next w:val="Normal"/>
    <w:link w:val="Heading2Char"/>
    <w:qFormat/>
    <w:rsid w:val="006154F6"/>
    <w:pPr>
      <w:numPr>
        <w:ilvl w:val="1"/>
        <w:numId w:val="1"/>
      </w:numPr>
      <w:suppressAutoHyphens/>
      <w:spacing w:before="280" w:after="280"/>
      <w:outlineLvl w:val="1"/>
    </w:pPr>
    <w:rPr>
      <w:rFonts w:ascii="Arial" w:hAnsi="Arial" w:cs="Arial"/>
      <w:b/>
      <w:bCs/>
      <w:color w:val="B02200"/>
      <w:sz w:val="26"/>
      <w:szCs w:val="36"/>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154F6"/>
    <w:rPr>
      <w:rFonts w:ascii="Arial" w:eastAsia="Times New Roman" w:hAnsi="Arial" w:cs="Arial"/>
      <w:b/>
      <w:bCs/>
      <w:color w:val="B02200"/>
      <w:sz w:val="26"/>
      <w:szCs w:val="36"/>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4F6"/>
    <w:rPr>
      <w:rFonts w:ascii="Times New Roman" w:eastAsia="Times New Roman" w:hAnsi="Times New Roman" w:cs="Times New Roman"/>
      <w:lang w:eastAsia="fr-FR"/>
    </w:rPr>
  </w:style>
  <w:style w:type="paragraph" w:styleId="Heading2">
    <w:name w:val="heading 2"/>
    <w:basedOn w:val="Normal"/>
    <w:next w:val="Normal"/>
    <w:link w:val="Heading2Char"/>
    <w:qFormat/>
    <w:rsid w:val="006154F6"/>
    <w:pPr>
      <w:numPr>
        <w:ilvl w:val="1"/>
        <w:numId w:val="1"/>
      </w:numPr>
      <w:suppressAutoHyphens/>
      <w:spacing w:before="280" w:after="280"/>
      <w:outlineLvl w:val="1"/>
    </w:pPr>
    <w:rPr>
      <w:rFonts w:ascii="Arial" w:hAnsi="Arial" w:cs="Arial"/>
      <w:b/>
      <w:bCs/>
      <w:color w:val="B02200"/>
      <w:sz w:val="26"/>
      <w:szCs w:val="36"/>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154F6"/>
    <w:rPr>
      <w:rFonts w:ascii="Arial" w:eastAsia="Times New Roman" w:hAnsi="Arial" w:cs="Arial"/>
      <w:b/>
      <w:bCs/>
      <w:color w:val="B02200"/>
      <w:sz w:val="26"/>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31055">
      <w:bodyDiv w:val="1"/>
      <w:marLeft w:val="0"/>
      <w:marRight w:val="0"/>
      <w:marTop w:val="0"/>
      <w:marBottom w:val="0"/>
      <w:divBdr>
        <w:top w:val="none" w:sz="0" w:space="0" w:color="auto"/>
        <w:left w:val="none" w:sz="0" w:space="0" w:color="auto"/>
        <w:bottom w:val="none" w:sz="0" w:space="0" w:color="auto"/>
        <w:right w:val="none" w:sz="0" w:space="0" w:color="auto"/>
      </w:divBdr>
    </w:div>
    <w:div w:id="506989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179</Words>
  <Characters>1025</Characters>
  <Application>Microsoft Macintosh Word</Application>
  <DocSecurity>0</DocSecurity>
  <Lines>8</Lines>
  <Paragraphs>2</Paragraphs>
  <ScaleCrop>false</ScaleCrop>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 Maison DUFLANC</dc:creator>
  <cp:keywords/>
  <dc:description/>
  <cp:lastModifiedBy>Jc Maison DUFLANC</cp:lastModifiedBy>
  <cp:revision>3</cp:revision>
  <dcterms:created xsi:type="dcterms:W3CDTF">2012-05-24T13:15:00Z</dcterms:created>
  <dcterms:modified xsi:type="dcterms:W3CDTF">2012-05-24T13:25:00Z</dcterms:modified>
</cp:coreProperties>
</file>