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9BDF4" w14:textId="77777777" w:rsidR="008E521D" w:rsidRPr="00906C81" w:rsidRDefault="00B21E9D" w:rsidP="00906C81">
      <w:pPr>
        <w:pStyle w:val="titredocument"/>
      </w:pPr>
      <w:r>
        <w:t xml:space="preserve">Repère notionnel portant sur </w:t>
      </w:r>
      <w:r w:rsidR="002840E6">
        <w:t>l</w:t>
      </w:r>
      <w:r w:rsidR="00AE0B21">
        <w:t xml:space="preserve">es </w:t>
      </w:r>
      <w:r w:rsidR="00207A6A">
        <w:t>études de marché</w:t>
      </w:r>
    </w:p>
    <w:p w14:paraId="49993DF7" w14:textId="77777777" w:rsidR="008E521D" w:rsidRDefault="008E521D" w:rsidP="008E521D">
      <w:pPr>
        <w:pStyle w:val="titrepartie"/>
      </w:pPr>
      <w:r>
        <w:t>Description du thème</w:t>
      </w:r>
    </w:p>
    <w:p w14:paraId="16EAFE2E"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36D955BE" w14:textId="77777777">
        <w:trPr>
          <w:trHeight w:val="225"/>
          <w:tblCellSpacing w:w="0" w:type="dxa"/>
        </w:trPr>
        <w:tc>
          <w:tcPr>
            <w:tcW w:w="1013" w:type="pct"/>
            <w:shd w:val="clear" w:color="auto" w:fill="6699CC"/>
            <w:vAlign w:val="center"/>
          </w:tcPr>
          <w:p w14:paraId="5025EF32"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5A562BC0" w14:textId="77777777" w:rsidR="009F2C57" w:rsidRDefault="009F2C57" w:rsidP="0041378F">
            <w:pPr>
              <w:jc w:val="center"/>
              <w:rPr>
                <w:color w:val="FFFFFF"/>
                <w:sz w:val="18"/>
                <w:szCs w:val="18"/>
              </w:rPr>
            </w:pPr>
            <w:r>
              <w:rPr>
                <w:color w:val="FFFFFF"/>
                <w:sz w:val="18"/>
                <w:szCs w:val="18"/>
              </w:rPr>
              <w:t>Description</w:t>
            </w:r>
          </w:p>
        </w:tc>
      </w:tr>
      <w:tr w:rsidR="0052671C" w14:paraId="46E33B34" w14:textId="77777777">
        <w:tblPrEx>
          <w:tblCellSpacing w:w="0" w:type="nil"/>
        </w:tblPrEx>
        <w:trPr>
          <w:cantSplit/>
        </w:trPr>
        <w:tc>
          <w:tcPr>
            <w:tcW w:w="1013" w:type="pct"/>
          </w:tcPr>
          <w:p w14:paraId="4ABB3091"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0A42FCA7" w14:textId="77777777" w:rsidR="0052671C" w:rsidRDefault="00B21E9D" w:rsidP="0052671C">
            <w:r>
              <w:t xml:space="preserve">Repère notionnel portant sur </w:t>
            </w:r>
            <w:r w:rsidR="00207A6A">
              <w:t>les études de marché</w:t>
            </w:r>
          </w:p>
        </w:tc>
      </w:tr>
      <w:tr w:rsidR="0052671C" w14:paraId="7263C4B7" w14:textId="77777777">
        <w:tblPrEx>
          <w:tblCellSpacing w:w="0" w:type="nil"/>
        </w:tblPrEx>
        <w:trPr>
          <w:cantSplit/>
        </w:trPr>
        <w:tc>
          <w:tcPr>
            <w:tcW w:w="1013" w:type="pct"/>
          </w:tcPr>
          <w:p w14:paraId="16631DFF"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73828CE3" w14:textId="77777777" w:rsidR="0052671C" w:rsidRDefault="0052671C" w:rsidP="0052671C">
            <w:r>
              <w:t xml:space="preserve">Classes de </w:t>
            </w:r>
            <w:r w:rsidR="00B21E9D">
              <w:t>Terminale</w:t>
            </w:r>
            <w:r>
              <w:t xml:space="preserve"> Sciences et technologies du management et de la gestion (STMG) </w:t>
            </w:r>
          </w:p>
        </w:tc>
      </w:tr>
      <w:tr w:rsidR="0052671C" w14:paraId="58F60F09" w14:textId="77777777">
        <w:tblPrEx>
          <w:tblCellSpacing w:w="0" w:type="nil"/>
        </w:tblPrEx>
        <w:trPr>
          <w:cantSplit/>
        </w:trPr>
        <w:tc>
          <w:tcPr>
            <w:tcW w:w="1013" w:type="pct"/>
          </w:tcPr>
          <w:p w14:paraId="787EA22E"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2D20A8BC" w14:textId="77777777" w:rsidR="00AE7C9E" w:rsidRDefault="00B21E9D" w:rsidP="00AE7C9E">
            <w:r>
              <w:t>Management, Sciences des Gestion et numérique</w:t>
            </w:r>
          </w:p>
        </w:tc>
      </w:tr>
      <w:tr w:rsidR="0052671C" w14:paraId="40739CCB" w14:textId="77777777">
        <w:tblPrEx>
          <w:tblCellSpacing w:w="0" w:type="nil"/>
        </w:tblPrEx>
        <w:trPr>
          <w:cantSplit/>
        </w:trPr>
        <w:tc>
          <w:tcPr>
            <w:tcW w:w="1013" w:type="pct"/>
          </w:tcPr>
          <w:p w14:paraId="72ABA4D5"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3DDF740B"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764AFD03" w14:textId="77777777">
        <w:tblPrEx>
          <w:tblCellSpacing w:w="0" w:type="nil"/>
        </w:tblPrEx>
        <w:trPr>
          <w:cantSplit/>
        </w:trPr>
        <w:tc>
          <w:tcPr>
            <w:tcW w:w="1013" w:type="pct"/>
          </w:tcPr>
          <w:p w14:paraId="2E52E692" w14:textId="77777777" w:rsidR="0052671C" w:rsidRDefault="00A93C0A" w:rsidP="00284892">
            <w:pPr>
              <w:rPr>
                <w:b/>
                <w:bCs/>
                <w:color w:val="990033"/>
                <w:sz w:val="18"/>
                <w:szCs w:val="18"/>
              </w:rPr>
            </w:pPr>
            <w:r>
              <w:rPr>
                <w:b/>
                <w:bCs/>
                <w:color w:val="990033"/>
                <w:sz w:val="18"/>
                <w:szCs w:val="18"/>
              </w:rPr>
              <w:t>Savoirs</w:t>
            </w:r>
          </w:p>
        </w:tc>
        <w:tc>
          <w:tcPr>
            <w:tcW w:w="3987" w:type="pct"/>
          </w:tcPr>
          <w:p w14:paraId="3D644C2D" w14:textId="77777777" w:rsidR="00B84CBB" w:rsidRDefault="00B84CBB" w:rsidP="00B84CBB">
            <w:pPr>
              <w:rPr>
                <w:b/>
                <w:bCs/>
              </w:rPr>
            </w:pPr>
            <w:r>
              <w:rPr>
                <w:b/>
                <w:bCs/>
              </w:rPr>
              <w:t>Enseignement commun</w:t>
            </w:r>
          </w:p>
          <w:p w14:paraId="4BCB2BB8" w14:textId="77777777" w:rsidR="0052671C" w:rsidRPr="00B21E9D" w:rsidRDefault="00B21E9D" w:rsidP="0052671C">
            <w:r w:rsidRPr="002840E6">
              <w:rPr>
                <w:b/>
                <w:bCs/>
              </w:rPr>
              <w:t>Thème</w:t>
            </w:r>
            <w:r>
              <w:t xml:space="preserve"> 1 </w:t>
            </w:r>
            <w:r w:rsidRPr="00B21E9D">
              <w:t>: Les organisations et l’activité de production de biens et de services</w:t>
            </w:r>
          </w:p>
          <w:p w14:paraId="4C5915B9" w14:textId="77777777" w:rsidR="00B21E9D" w:rsidRDefault="00B21E9D" w:rsidP="0052671C">
            <w:r w:rsidRPr="002840E6">
              <w:rPr>
                <w:b/>
                <w:bCs/>
              </w:rPr>
              <w:t>Question de gestion</w:t>
            </w:r>
            <w:r>
              <w:t xml:space="preserve"> </w:t>
            </w:r>
            <w:r w:rsidRPr="00B21E9D">
              <w:t>1.1. Quels produits ou quels services pour quels besoins ?</w:t>
            </w:r>
          </w:p>
          <w:p w14:paraId="10A338EB" w14:textId="77777777" w:rsidR="002840E6" w:rsidRPr="002840E6" w:rsidRDefault="00B21E9D" w:rsidP="002840E6">
            <w:pPr>
              <w:pStyle w:val="TableParagraph"/>
              <w:ind w:right="104"/>
              <w:jc w:val="both"/>
              <w:rPr>
                <w:rFonts w:ascii="Arial" w:eastAsia="Times New Roman" w:hAnsi="Arial" w:cs="Arial"/>
                <w:color w:val="000080"/>
                <w:sz w:val="20"/>
                <w:szCs w:val="20"/>
                <w:lang w:bidi="ar-SA"/>
              </w:rPr>
            </w:pPr>
            <w:r w:rsidRPr="002840E6">
              <w:rPr>
                <w:rFonts w:ascii="Arial" w:eastAsia="Times New Roman" w:hAnsi="Arial" w:cs="Arial"/>
                <w:b/>
                <w:bCs/>
                <w:color w:val="000080"/>
                <w:sz w:val="20"/>
                <w:szCs w:val="20"/>
                <w:lang w:bidi="ar-SA"/>
              </w:rPr>
              <w:t>Indications complémentaires</w:t>
            </w:r>
            <w:r w:rsidRPr="002840E6">
              <w:rPr>
                <w:rFonts w:ascii="Arial" w:eastAsia="Times New Roman" w:hAnsi="Arial" w:cs="Arial"/>
                <w:color w:val="000080"/>
                <w:sz w:val="20"/>
                <w:szCs w:val="20"/>
                <w:lang w:bidi="ar-SA"/>
              </w:rPr>
              <w:t xml:space="preserve"> : </w:t>
            </w:r>
            <w:r w:rsidR="002840E6" w:rsidRPr="002840E6">
              <w:rPr>
                <w:rFonts w:ascii="Arial" w:eastAsia="Times New Roman" w:hAnsi="Arial" w:cs="Arial"/>
                <w:color w:val="000080"/>
                <w:sz w:val="20"/>
                <w:szCs w:val="20"/>
                <w:lang w:bidi="ar-SA"/>
              </w:rPr>
              <w:t>L’organisation choisit les biens ou services qu’elle va produire en fonction de ses finalités ; elle doit avoir une connaissance des marchés sur lesquels elle évolue. L’organisation possède et recherche des informations sur les consommateurs ou usagers et sur ses concurrents. Elle a recours à différents outils numériques de recueil et de traitement de l’information et peut se saisir des possibilités offertes par l’analyse des données massives (big data).</w:t>
            </w:r>
          </w:p>
          <w:p w14:paraId="60CB59A0" w14:textId="77777777" w:rsidR="002840E6" w:rsidRPr="002840E6" w:rsidRDefault="002840E6" w:rsidP="002840E6">
            <w:pPr>
              <w:pStyle w:val="TableParagraph"/>
              <w:ind w:right="218"/>
              <w:jc w:val="both"/>
              <w:rPr>
                <w:rFonts w:ascii="Arial" w:eastAsia="Times New Roman" w:hAnsi="Arial" w:cs="Arial"/>
                <w:color w:val="000080"/>
                <w:sz w:val="20"/>
                <w:szCs w:val="20"/>
                <w:lang w:bidi="ar-SA"/>
              </w:rPr>
            </w:pPr>
            <w:r w:rsidRPr="002840E6">
              <w:rPr>
                <w:rFonts w:ascii="Arial" w:eastAsia="Times New Roman" w:hAnsi="Arial" w:cs="Arial"/>
                <w:color w:val="000080"/>
                <w:sz w:val="20"/>
                <w:szCs w:val="20"/>
                <w:lang w:bidi="ar-SA"/>
              </w:rPr>
              <w:t>La définition de l’offre proposée est du ressort du marketing. L’objectif du marketing est d’aider à répondre à un besoin non satisfait par une offre, que ce besoin soit exprimé ou non par le consommateur (client ou usager). Les choix marketing doivent être cohérents avec les orientations stratégiques, en particulier quand l’organisation dispose d’avantages concurrentiels. On distingue alors les approches anticipatrice, créative, réactive, médiatrice.</w:t>
            </w:r>
          </w:p>
          <w:p w14:paraId="743A2930" w14:textId="77777777" w:rsidR="00B21E9D" w:rsidRDefault="002840E6" w:rsidP="002840E6">
            <w:pPr>
              <w:textDirection w:val="btLr"/>
            </w:pPr>
            <w:r w:rsidRPr="002840E6">
              <w:t>Le traitement de cette question suppose de réactiver les notions de finalités et de stratégie, vues dans l’enseignement de spécialité de management en classe de première STMG. Si la stratégie marketing, élément de la stratégie globale, a été abordée en classe de première, le marketing opérationnel est développé dans l’enseignement spécifique de mercatique (marketing).</w:t>
            </w:r>
          </w:p>
        </w:tc>
      </w:tr>
      <w:tr w:rsidR="00A93C0A" w14:paraId="2ED6F138" w14:textId="77777777">
        <w:tblPrEx>
          <w:tblCellSpacing w:w="0" w:type="nil"/>
        </w:tblPrEx>
        <w:trPr>
          <w:cantSplit/>
        </w:trPr>
        <w:tc>
          <w:tcPr>
            <w:tcW w:w="1013" w:type="pct"/>
          </w:tcPr>
          <w:p w14:paraId="35D94F8E" w14:textId="77777777" w:rsidR="00A93C0A" w:rsidRDefault="00A93C0A" w:rsidP="00284892">
            <w:pPr>
              <w:rPr>
                <w:b/>
                <w:bCs/>
                <w:color w:val="990033"/>
                <w:sz w:val="18"/>
                <w:szCs w:val="18"/>
              </w:rPr>
            </w:pPr>
            <w:r>
              <w:rPr>
                <w:b/>
                <w:bCs/>
                <w:color w:val="990033"/>
                <w:sz w:val="18"/>
                <w:szCs w:val="18"/>
              </w:rPr>
              <w:t>Compétences</w:t>
            </w:r>
          </w:p>
        </w:tc>
        <w:tc>
          <w:tcPr>
            <w:tcW w:w="3987" w:type="pct"/>
          </w:tcPr>
          <w:p w14:paraId="6CCDD0FA" w14:textId="77777777" w:rsidR="00A93C0A" w:rsidRDefault="002840E6" w:rsidP="0052671C">
            <w:r w:rsidRPr="002840E6">
              <w:t>Présenter les caractéristiques du marché et les modalités par lesquelles l’entreprise détecte les tendances</w:t>
            </w:r>
            <w:r w:rsidR="00AE0B21">
              <w:t>.</w:t>
            </w:r>
          </w:p>
        </w:tc>
      </w:tr>
      <w:tr w:rsidR="00207A6A" w14:paraId="100FE3B7" w14:textId="77777777">
        <w:tblPrEx>
          <w:tblCellSpacing w:w="0" w:type="nil"/>
        </w:tblPrEx>
        <w:trPr>
          <w:cantSplit/>
        </w:trPr>
        <w:tc>
          <w:tcPr>
            <w:tcW w:w="1013" w:type="pct"/>
          </w:tcPr>
          <w:p w14:paraId="06F0C87D" w14:textId="77777777" w:rsidR="00207A6A" w:rsidRDefault="00207A6A" w:rsidP="00207A6A">
            <w:pPr>
              <w:rPr>
                <w:b/>
                <w:bCs/>
                <w:color w:val="990033"/>
                <w:sz w:val="18"/>
                <w:szCs w:val="18"/>
              </w:rPr>
            </w:pPr>
            <w:r>
              <w:rPr>
                <w:b/>
                <w:bCs/>
                <w:color w:val="990033"/>
                <w:sz w:val="18"/>
                <w:szCs w:val="18"/>
              </w:rPr>
              <w:t>Transversalité</w:t>
            </w:r>
          </w:p>
        </w:tc>
        <w:tc>
          <w:tcPr>
            <w:tcW w:w="3987" w:type="pct"/>
          </w:tcPr>
          <w:p w14:paraId="5E482066" w14:textId="77777777" w:rsidR="00207A6A" w:rsidRPr="00207A6A" w:rsidRDefault="00207A6A" w:rsidP="00207A6A">
            <w:pPr>
              <w:textDirection w:val="btLr"/>
            </w:pPr>
            <w:r w:rsidRPr="00207A6A">
              <w:t xml:space="preserve">Il s’agit là encore du point d’entrée dans le programme de </w:t>
            </w:r>
            <w:r w:rsidRPr="00207A6A">
              <w:rPr>
                <w:b/>
                <w:bCs/>
              </w:rPr>
              <w:t>l’enseignement spécifique marketing</w:t>
            </w:r>
            <w:r w:rsidRPr="00207A6A">
              <w:t>. L’étude de marché permet de rendre cohérent l’ensemble du plan de marchéage (ensemble des points du programme)</w:t>
            </w:r>
          </w:p>
        </w:tc>
      </w:tr>
      <w:tr w:rsidR="0052671C" w14:paraId="23E258DC" w14:textId="77777777">
        <w:tblPrEx>
          <w:tblCellSpacing w:w="0" w:type="nil"/>
        </w:tblPrEx>
        <w:trPr>
          <w:cantSplit/>
        </w:trPr>
        <w:tc>
          <w:tcPr>
            <w:tcW w:w="1013" w:type="pct"/>
          </w:tcPr>
          <w:p w14:paraId="4C9FA438" w14:textId="77777777" w:rsidR="0052671C" w:rsidRDefault="00A93C0A" w:rsidP="00284892">
            <w:pPr>
              <w:rPr>
                <w:b/>
                <w:bCs/>
                <w:color w:val="990033"/>
                <w:sz w:val="18"/>
                <w:szCs w:val="18"/>
              </w:rPr>
            </w:pPr>
            <w:r>
              <w:rPr>
                <w:b/>
                <w:bCs/>
                <w:color w:val="990033"/>
                <w:sz w:val="18"/>
                <w:szCs w:val="18"/>
              </w:rPr>
              <w:t>Pré</w:t>
            </w:r>
            <w:r w:rsidR="0052671C">
              <w:rPr>
                <w:b/>
                <w:bCs/>
                <w:color w:val="990033"/>
                <w:sz w:val="18"/>
                <w:szCs w:val="18"/>
              </w:rPr>
              <w:t>requis</w:t>
            </w:r>
          </w:p>
        </w:tc>
        <w:tc>
          <w:tcPr>
            <w:tcW w:w="3987" w:type="pct"/>
          </w:tcPr>
          <w:p w14:paraId="236BCFCA" w14:textId="77777777" w:rsidR="00207A6A" w:rsidRPr="00207A6A" w:rsidRDefault="00207A6A" w:rsidP="00207A6A">
            <w:r w:rsidRPr="00207A6A">
              <w:rPr>
                <w:b/>
                <w:bCs/>
              </w:rPr>
              <w:t>SdGN</w:t>
            </w:r>
            <w:r w:rsidRPr="00207A6A">
              <w:t> </w:t>
            </w:r>
            <w:r>
              <w:t>(classe de première)</w:t>
            </w:r>
          </w:p>
          <w:p w14:paraId="7A0F2AE2" w14:textId="77777777" w:rsidR="00207A6A" w:rsidRDefault="00207A6A" w:rsidP="00207A6A">
            <w:r w:rsidRPr="00207A6A">
              <w:rPr>
                <w:b/>
                <w:bCs/>
              </w:rPr>
              <w:t>Thème</w:t>
            </w:r>
            <w:r>
              <w:t xml:space="preserve"> </w:t>
            </w:r>
            <w:r w:rsidRPr="00207A6A">
              <w:t>2</w:t>
            </w:r>
            <w:r>
              <w:t xml:space="preserve"> Numérique et intelligence collective</w:t>
            </w:r>
          </w:p>
          <w:p w14:paraId="32ED0A47" w14:textId="77777777" w:rsidR="00207A6A" w:rsidRPr="00207A6A" w:rsidRDefault="00207A6A" w:rsidP="00207A6A">
            <w:r w:rsidRPr="00207A6A">
              <w:rPr>
                <w:b/>
                <w:bCs/>
              </w:rPr>
              <w:t>Question</w:t>
            </w:r>
            <w:r>
              <w:t xml:space="preserve"> </w:t>
            </w:r>
            <w:r w:rsidRPr="00207A6A">
              <w:t xml:space="preserve">En quoi les technologiques transforment-elles l’information en ressources ? </w:t>
            </w:r>
          </w:p>
          <w:p w14:paraId="4AB0081B" w14:textId="77777777" w:rsidR="00207A6A" w:rsidRDefault="00207A6A" w:rsidP="00207A6A">
            <w:r w:rsidRPr="00207A6A">
              <w:rPr>
                <w:b/>
                <w:bCs/>
              </w:rPr>
              <w:t>Thème</w:t>
            </w:r>
            <w:r w:rsidRPr="00207A6A">
              <w:t xml:space="preserve"> 4 </w:t>
            </w:r>
            <w:r>
              <w:t>Temps et risque</w:t>
            </w:r>
          </w:p>
          <w:p w14:paraId="5E33C421" w14:textId="77777777" w:rsidR="00207A6A" w:rsidRDefault="00207A6A" w:rsidP="00207A6A">
            <w:r w:rsidRPr="00207A6A">
              <w:rPr>
                <w:b/>
                <w:bCs/>
              </w:rPr>
              <w:t>Question</w:t>
            </w:r>
            <w:r>
              <w:t xml:space="preserve"> </w:t>
            </w:r>
            <w:r w:rsidRPr="00207A6A">
              <w:t>Quelle prise en compte du temps dans la gestion de l’organisation ? Veille informationnelle et prospective en matière d’activité (enquête)</w:t>
            </w:r>
          </w:p>
          <w:p w14:paraId="02F81B68" w14:textId="77777777" w:rsidR="00207A6A" w:rsidRPr="00207A6A" w:rsidRDefault="00207A6A" w:rsidP="00207A6A"/>
          <w:p w14:paraId="03400A19" w14:textId="77777777" w:rsidR="00207A6A" w:rsidRPr="00207A6A" w:rsidRDefault="00207A6A" w:rsidP="00207A6A">
            <w:r w:rsidRPr="00207A6A">
              <w:rPr>
                <w:b/>
                <w:bCs/>
              </w:rPr>
              <w:t>Management</w:t>
            </w:r>
            <w:r w:rsidRPr="00207A6A">
              <w:t> </w:t>
            </w:r>
            <w:r>
              <w:t>(classe de première)</w:t>
            </w:r>
          </w:p>
          <w:p w14:paraId="4AD02618" w14:textId="77777777" w:rsidR="00207A6A" w:rsidRDefault="00207A6A" w:rsidP="00207A6A">
            <w:r w:rsidRPr="00207A6A">
              <w:rPr>
                <w:b/>
                <w:bCs/>
              </w:rPr>
              <w:t>Thème</w:t>
            </w:r>
            <w:r>
              <w:t xml:space="preserve"> </w:t>
            </w:r>
            <w:r w:rsidRPr="00207A6A">
              <w:t xml:space="preserve">2 </w:t>
            </w:r>
            <w:r>
              <w:t>Le management stratégique, du diagnostic à la fixation des objectifs</w:t>
            </w:r>
          </w:p>
          <w:p w14:paraId="2E523C5C" w14:textId="77777777" w:rsidR="0052671C" w:rsidRPr="00157C76" w:rsidRDefault="00207A6A" w:rsidP="00207A6A">
            <w:r w:rsidRPr="00207A6A">
              <w:rPr>
                <w:b/>
                <w:bCs/>
              </w:rPr>
              <w:t>Question</w:t>
            </w:r>
            <w:r>
              <w:t xml:space="preserve"> </w:t>
            </w:r>
            <w:r w:rsidRPr="00207A6A">
              <w:t>2.2. Comment élaborer la stratégie ? Veille stratégique</w:t>
            </w:r>
          </w:p>
        </w:tc>
      </w:tr>
      <w:tr w:rsidR="003346DE" w14:paraId="6E9D1347" w14:textId="77777777" w:rsidTr="003346DE">
        <w:tblPrEx>
          <w:tblCellSpacing w:w="0" w:type="nil"/>
        </w:tblPrEx>
        <w:trPr>
          <w:cantSplit/>
        </w:trPr>
        <w:tc>
          <w:tcPr>
            <w:tcW w:w="5000" w:type="pct"/>
            <w:gridSpan w:val="2"/>
          </w:tcPr>
          <w:p w14:paraId="3481B22C" w14:textId="29D91511" w:rsidR="003346DE" w:rsidRDefault="003346DE" w:rsidP="0052671C">
            <w:r>
              <w:rPr>
                <w:b/>
                <w:bCs/>
                <w:color w:val="990033"/>
                <w:sz w:val="18"/>
                <w:szCs w:val="18"/>
              </w:rPr>
              <w:t>Outils</w:t>
            </w:r>
          </w:p>
        </w:tc>
      </w:tr>
      <w:tr w:rsidR="0052671C" w14:paraId="17E8E79C" w14:textId="77777777">
        <w:tblPrEx>
          <w:tblCellSpacing w:w="0" w:type="nil"/>
        </w:tblPrEx>
        <w:trPr>
          <w:cantSplit/>
        </w:trPr>
        <w:tc>
          <w:tcPr>
            <w:tcW w:w="1013" w:type="pct"/>
          </w:tcPr>
          <w:p w14:paraId="1AF98E12" w14:textId="77777777" w:rsidR="0052671C" w:rsidRDefault="0052671C" w:rsidP="00284892">
            <w:pPr>
              <w:rPr>
                <w:b/>
                <w:bCs/>
                <w:color w:val="990033"/>
                <w:sz w:val="18"/>
                <w:szCs w:val="18"/>
              </w:rPr>
            </w:pPr>
            <w:r>
              <w:rPr>
                <w:b/>
                <w:bCs/>
                <w:color w:val="990033"/>
                <w:sz w:val="18"/>
                <w:szCs w:val="18"/>
              </w:rPr>
              <w:t>Mots-clés</w:t>
            </w:r>
          </w:p>
        </w:tc>
        <w:tc>
          <w:tcPr>
            <w:tcW w:w="3987" w:type="pct"/>
          </w:tcPr>
          <w:p w14:paraId="72CC0501" w14:textId="77777777" w:rsidR="0052671C" w:rsidRDefault="00207A6A" w:rsidP="0052671C">
            <w:r>
              <w:t>Etudes quantitatives (enquête et panel), Etudes quantitatives (entretiens et observation), big data.</w:t>
            </w:r>
          </w:p>
        </w:tc>
      </w:tr>
      <w:tr w:rsidR="0052671C" w14:paraId="1D96AA52" w14:textId="77777777">
        <w:tblPrEx>
          <w:tblCellSpacing w:w="0" w:type="nil"/>
        </w:tblPrEx>
        <w:trPr>
          <w:cantSplit/>
        </w:trPr>
        <w:tc>
          <w:tcPr>
            <w:tcW w:w="1013" w:type="pct"/>
          </w:tcPr>
          <w:p w14:paraId="368731E3" w14:textId="77777777" w:rsidR="0052671C" w:rsidRDefault="0052671C" w:rsidP="00284892">
            <w:pPr>
              <w:rPr>
                <w:b/>
                <w:bCs/>
                <w:color w:val="990033"/>
                <w:sz w:val="18"/>
                <w:szCs w:val="18"/>
              </w:rPr>
            </w:pPr>
            <w:r>
              <w:rPr>
                <w:b/>
                <w:bCs/>
                <w:color w:val="990033"/>
                <w:sz w:val="18"/>
                <w:szCs w:val="18"/>
              </w:rPr>
              <w:t>Auteur(es)</w:t>
            </w:r>
          </w:p>
        </w:tc>
        <w:tc>
          <w:tcPr>
            <w:tcW w:w="3987" w:type="pct"/>
          </w:tcPr>
          <w:p w14:paraId="7B91A5E8" w14:textId="63AEBB4B" w:rsidR="0052671C" w:rsidRDefault="00157C76" w:rsidP="0052671C">
            <w:r>
              <w:t>Laëtitia Dubourdieu</w:t>
            </w:r>
          </w:p>
        </w:tc>
      </w:tr>
      <w:tr w:rsidR="0052671C" w14:paraId="7E3DCC96" w14:textId="77777777">
        <w:tblPrEx>
          <w:tblCellSpacing w:w="0" w:type="nil"/>
        </w:tblPrEx>
        <w:trPr>
          <w:cantSplit/>
        </w:trPr>
        <w:tc>
          <w:tcPr>
            <w:tcW w:w="1013" w:type="pct"/>
          </w:tcPr>
          <w:p w14:paraId="3810DB24" w14:textId="77777777" w:rsidR="0052671C" w:rsidRPr="004B7AE4" w:rsidRDefault="0052671C" w:rsidP="00284892">
            <w:pPr>
              <w:rPr>
                <w:b/>
                <w:bCs/>
                <w:color w:val="990033"/>
                <w:sz w:val="18"/>
                <w:szCs w:val="18"/>
              </w:rPr>
            </w:pPr>
            <w:r w:rsidRPr="004B7AE4">
              <w:rPr>
                <w:b/>
                <w:bCs/>
                <w:color w:val="990033"/>
                <w:sz w:val="18"/>
                <w:szCs w:val="18"/>
              </w:rPr>
              <w:t>Version</w:t>
            </w:r>
          </w:p>
        </w:tc>
        <w:tc>
          <w:tcPr>
            <w:tcW w:w="3987" w:type="pct"/>
          </w:tcPr>
          <w:p w14:paraId="79B3B543" w14:textId="77777777" w:rsidR="0052671C" w:rsidRDefault="0052671C" w:rsidP="0052671C">
            <w:r>
              <w:t>v 1.0</w:t>
            </w:r>
          </w:p>
        </w:tc>
      </w:tr>
      <w:tr w:rsidR="0052671C" w14:paraId="786D79E9" w14:textId="77777777">
        <w:tblPrEx>
          <w:tblCellSpacing w:w="0" w:type="nil"/>
        </w:tblPrEx>
        <w:trPr>
          <w:cantSplit/>
        </w:trPr>
        <w:tc>
          <w:tcPr>
            <w:tcW w:w="1013" w:type="pct"/>
          </w:tcPr>
          <w:p w14:paraId="23DEA36F" w14:textId="77777777" w:rsidR="0052671C" w:rsidRPr="004B7AE4" w:rsidRDefault="0052671C" w:rsidP="00284892">
            <w:pPr>
              <w:rPr>
                <w:b/>
                <w:bCs/>
                <w:color w:val="990033"/>
                <w:sz w:val="18"/>
                <w:szCs w:val="18"/>
              </w:rPr>
            </w:pPr>
            <w:r w:rsidRPr="004B7AE4">
              <w:rPr>
                <w:b/>
                <w:bCs/>
                <w:color w:val="990033"/>
                <w:sz w:val="18"/>
                <w:szCs w:val="18"/>
              </w:rPr>
              <w:lastRenderedPageBreak/>
              <w:t>Date de publication</w:t>
            </w:r>
          </w:p>
        </w:tc>
        <w:tc>
          <w:tcPr>
            <w:tcW w:w="3987" w:type="pct"/>
          </w:tcPr>
          <w:p w14:paraId="2F30A66D" w14:textId="4B1E79B7" w:rsidR="0052671C" w:rsidRDefault="003346DE" w:rsidP="0052671C">
            <w:r>
              <w:t>Septembre</w:t>
            </w:r>
            <w:r w:rsidR="0052671C">
              <w:t xml:space="preserve"> 20</w:t>
            </w:r>
            <w:r w:rsidR="00AE7C9E">
              <w:t>20</w:t>
            </w:r>
          </w:p>
        </w:tc>
      </w:tr>
    </w:tbl>
    <w:p w14:paraId="1AEAE971" w14:textId="77777777" w:rsidR="00D927D1" w:rsidRDefault="00D927D1" w:rsidP="00D927D1"/>
    <w:p w14:paraId="410A4906" w14:textId="77777777" w:rsidR="00207A6A" w:rsidRDefault="00207A6A">
      <w:pPr>
        <w:jc w:val="left"/>
      </w:pPr>
    </w:p>
    <w:p w14:paraId="42A05521" w14:textId="77777777" w:rsidR="00CD1C0E" w:rsidRDefault="00207A6A" w:rsidP="00CD1C0E">
      <w:pPr>
        <w:pStyle w:val="titredocument"/>
      </w:pPr>
      <w:r>
        <w:t xml:space="preserve">LES </w:t>
      </w:r>
      <w:r w:rsidR="00CD1C0E">
        <w:t>ÉTUDES DE MARCHÉ</w:t>
      </w:r>
    </w:p>
    <w:p w14:paraId="2D7D5D4B" w14:textId="77777777" w:rsidR="00207A6A" w:rsidRPr="007F75AB" w:rsidRDefault="00207A6A" w:rsidP="00207A6A">
      <w:pPr>
        <w:pStyle w:val="titrepartie"/>
      </w:pPr>
      <w:r w:rsidRPr="007F75AB">
        <w:t>Qu’est-ce qu'un marché ?</w:t>
      </w:r>
    </w:p>
    <w:p w14:paraId="3D70D84B" w14:textId="77777777" w:rsidR="00207A6A" w:rsidRPr="00207A6A" w:rsidRDefault="00207A6A" w:rsidP="00207A6A">
      <w:pPr>
        <w:pStyle w:val="NormalWeb"/>
        <w:spacing w:line="240" w:lineRule="auto"/>
      </w:pPr>
      <w:r w:rsidRPr="00207A6A">
        <w:t>On peut présenter trois approches complémentaires d’un marché.</w:t>
      </w:r>
    </w:p>
    <w:p w14:paraId="2D268B1E" w14:textId="77777777" w:rsidR="00207A6A" w:rsidRPr="00207A6A" w:rsidRDefault="00207A6A" w:rsidP="00207A6A">
      <w:pPr>
        <w:pStyle w:val="NormalWeb"/>
        <w:spacing w:line="240" w:lineRule="auto"/>
      </w:pPr>
      <w:r w:rsidRPr="00207A6A">
        <w:t>• Un marché est un espace où s’organise la rencontre d’une offre et d’une demande en vue d’un échange. Il prend généralement la forme d’une transaction, mais il existe d’autres types d’échange (par exemple le marché électoral).</w:t>
      </w:r>
    </w:p>
    <w:p w14:paraId="3AB3B785" w14:textId="77777777" w:rsidR="00207A6A" w:rsidRPr="00207A6A" w:rsidRDefault="00207A6A" w:rsidP="00207A6A">
      <w:pPr>
        <w:pStyle w:val="NormalWeb"/>
        <w:spacing w:line="240" w:lineRule="auto"/>
      </w:pPr>
      <w:r w:rsidRPr="00207A6A">
        <w:t>• Un marché est un système d’interactions entre cinq grands types d’acteurs : les clients, les producteurs, les distributeurs, les influenceurs et les régulateurs. C’est une approche systémique ou stratégique du marché, qui met l’accent sur le rôle des acteurs (au-delà de la simple offre et demande).</w:t>
      </w:r>
    </w:p>
    <w:p w14:paraId="1B9436F2" w14:textId="77777777" w:rsidR="00207A6A" w:rsidRPr="00207A6A" w:rsidRDefault="00207A6A" w:rsidP="00207A6A">
      <w:pPr>
        <w:pStyle w:val="NormalWeb"/>
        <w:spacing w:line="240" w:lineRule="auto"/>
      </w:pPr>
      <w:r w:rsidRPr="00207A6A">
        <w:t>• Un marché est un espace où des offres sont en concurrence avec d’autres que les clients jugent substituables. C’est une approche du marché qui part de la perception qu’en ont les clients.</w:t>
      </w:r>
    </w:p>
    <w:p w14:paraId="200C9C49" w14:textId="77777777" w:rsidR="00207A6A" w:rsidRPr="00207A6A" w:rsidRDefault="00207A6A" w:rsidP="00207A6A">
      <w:pPr>
        <w:textDirection w:val="btLr"/>
      </w:pPr>
    </w:p>
    <w:p w14:paraId="1ED4631B" w14:textId="77777777" w:rsidR="00207A6A" w:rsidRPr="00207A6A" w:rsidRDefault="00207A6A" w:rsidP="00207A6A">
      <w:pPr>
        <w:pStyle w:val="titrepartie"/>
        <w:rPr>
          <w:rFonts w:eastAsia="Arial"/>
        </w:rPr>
      </w:pPr>
      <w:r w:rsidRPr="00207A6A">
        <w:rPr>
          <w:rFonts w:eastAsia="Arial"/>
        </w:rPr>
        <w:t>Du SWOT aux études de marché</w:t>
      </w:r>
    </w:p>
    <w:p w14:paraId="54EABA54" w14:textId="77777777" w:rsidR="00207A6A" w:rsidRPr="00207A6A" w:rsidRDefault="00207A6A" w:rsidP="00207A6A">
      <w:pPr>
        <w:textDirection w:val="btLr"/>
      </w:pPr>
      <w:r w:rsidRPr="00207A6A">
        <w:t xml:space="preserve">Les études de marché sont un travail méthodique de collecte et d’analyse d’informations permettant de mieux connaître et comprendre un marché, une offre, un public. Leur finalité est de prendre de meilleures décisions marketing. </w:t>
      </w:r>
    </w:p>
    <w:p w14:paraId="6434DB56" w14:textId="77777777" w:rsidR="005969BD" w:rsidRDefault="005969BD" w:rsidP="00207A6A">
      <w:pPr>
        <w:textDirection w:val="btLr"/>
      </w:pPr>
    </w:p>
    <w:p w14:paraId="4BFB1935" w14:textId="78EE2CAD" w:rsidR="00207A6A" w:rsidRPr="00207A6A" w:rsidRDefault="00207A6A" w:rsidP="00207A6A">
      <w:pPr>
        <w:textDirection w:val="btLr"/>
      </w:pPr>
      <w:r w:rsidRPr="00207A6A">
        <w:t>À la différence du SWOT, l’étude marketing vient répondre à des questions spécifiques définies au préalable et propres à un phénomène précis.</w:t>
      </w:r>
    </w:p>
    <w:p w14:paraId="53779F09" w14:textId="5484946B" w:rsidR="005969BD" w:rsidRDefault="00207A6A" w:rsidP="00207A6A">
      <w:pPr>
        <w:textDirection w:val="btLr"/>
      </w:pPr>
      <w:r w:rsidRPr="00207A6A">
        <w:t>Elle a pour objectifs</w:t>
      </w:r>
      <w:r w:rsidR="005969BD">
        <w:t> de comprendre :</w:t>
      </w:r>
    </w:p>
    <w:p w14:paraId="44E151B5" w14:textId="77777777" w:rsidR="005969BD" w:rsidRDefault="00207A6A" w:rsidP="005969BD">
      <w:pPr>
        <w:pStyle w:val="Paragraphedeliste"/>
        <w:numPr>
          <w:ilvl w:val="0"/>
          <w:numId w:val="38"/>
        </w:numPr>
        <w:textDirection w:val="btLr"/>
      </w:pPr>
      <w:r w:rsidRPr="00207A6A">
        <w:t>les caractéristiques concurrentielles d’un marché donné</w:t>
      </w:r>
      <w:r w:rsidR="005969BD">
        <w:t> ;</w:t>
      </w:r>
    </w:p>
    <w:p w14:paraId="46D56A3B" w14:textId="77777777" w:rsidR="005969BD" w:rsidRDefault="005969BD" w:rsidP="005969BD">
      <w:pPr>
        <w:pStyle w:val="Paragraphedeliste"/>
        <w:numPr>
          <w:ilvl w:val="0"/>
          <w:numId w:val="38"/>
        </w:numPr>
        <w:textDirection w:val="btLr"/>
      </w:pPr>
      <w:r>
        <w:t>l</w:t>
      </w:r>
      <w:r w:rsidR="00207A6A" w:rsidRPr="00207A6A">
        <w:t xml:space="preserve">es phénomènes de consommation, </w:t>
      </w:r>
    </w:p>
    <w:p w14:paraId="6876F76F" w14:textId="77777777" w:rsidR="005969BD" w:rsidRDefault="00207A6A" w:rsidP="005969BD">
      <w:pPr>
        <w:pStyle w:val="Paragraphedeliste"/>
        <w:numPr>
          <w:ilvl w:val="0"/>
          <w:numId w:val="38"/>
        </w:numPr>
        <w:textDirection w:val="btLr"/>
      </w:pPr>
      <w:r w:rsidRPr="00207A6A">
        <w:t xml:space="preserve">les sensibilités des clients </w:t>
      </w:r>
    </w:p>
    <w:p w14:paraId="7B02E748" w14:textId="36FF3DAF" w:rsidR="00207A6A" w:rsidRPr="00207A6A" w:rsidRDefault="005969BD" w:rsidP="005969BD">
      <w:pPr>
        <w:pStyle w:val="Paragraphedeliste"/>
        <w:numPr>
          <w:ilvl w:val="0"/>
          <w:numId w:val="38"/>
        </w:numPr>
        <w:textDirection w:val="btLr"/>
      </w:pPr>
      <w:r>
        <w:t>l</w:t>
      </w:r>
      <w:r w:rsidR="00207A6A" w:rsidRPr="00207A6A">
        <w:t>es moyens de les sensibiliser aux produits de l’entreprise.</w:t>
      </w:r>
    </w:p>
    <w:p w14:paraId="396FBDFA" w14:textId="77777777" w:rsidR="00207A6A" w:rsidRPr="00207A6A" w:rsidRDefault="00207A6A" w:rsidP="00207A6A">
      <w:pPr>
        <w:textDirection w:val="btLr"/>
      </w:pPr>
    </w:p>
    <w:p w14:paraId="0ED7ED60" w14:textId="77777777" w:rsidR="00207A6A" w:rsidRPr="00207A6A" w:rsidRDefault="00207A6A" w:rsidP="00207A6A">
      <w:pPr>
        <w:pStyle w:val="titrepartie"/>
        <w:rPr>
          <w:rFonts w:eastAsia="Arial"/>
        </w:rPr>
      </w:pPr>
      <w:r w:rsidRPr="00207A6A">
        <w:rPr>
          <w:rFonts w:eastAsia="Arial"/>
        </w:rPr>
        <w:t>Les études de marché</w:t>
      </w:r>
    </w:p>
    <w:p w14:paraId="5F71A691" w14:textId="33D690AB" w:rsidR="00985AE8" w:rsidRPr="002F5A79" w:rsidRDefault="00985AE8" w:rsidP="00985AE8">
      <w:pPr>
        <w:rPr>
          <w:rFonts w:eastAsia="MS PGothic"/>
        </w:rPr>
      </w:pPr>
      <w:r w:rsidRPr="002F5A79">
        <w:rPr>
          <w:rFonts w:eastAsia="MS PGothic"/>
        </w:rPr>
        <w:t>Les études sont « l’ensemble des procédures techniques mises en œuvre pour produire et fournir de l’information utile et f</w:t>
      </w:r>
      <w:r w:rsidR="0091578E">
        <w:rPr>
          <w:rFonts w:eastAsia="MS PGothic"/>
        </w:rPr>
        <w:t>i</w:t>
      </w:r>
      <w:r w:rsidRPr="002F5A79">
        <w:rPr>
          <w:rFonts w:eastAsia="MS PGothic"/>
        </w:rPr>
        <w:t>able en vue de réduire l’incertitude et d’aider la prise de décision dans tous les champs du marketing » (</w:t>
      </w:r>
      <w:r w:rsidRPr="00985AE8">
        <w:rPr>
          <w:rFonts w:eastAsia="MS PGothic"/>
          <w:b/>
          <w:bCs/>
        </w:rPr>
        <w:t>CAUMONT</w:t>
      </w:r>
      <w:r w:rsidRPr="00985AE8">
        <w:rPr>
          <w:rFonts w:eastAsia="MS PGothic"/>
        </w:rPr>
        <w:t>, 2016</w:t>
      </w:r>
      <w:r w:rsidRPr="002F5A79">
        <w:rPr>
          <w:rFonts w:eastAsia="MS PGothic"/>
        </w:rPr>
        <w:t>).</w:t>
      </w:r>
    </w:p>
    <w:p w14:paraId="274110AF" w14:textId="639FA77D" w:rsidR="00985AE8" w:rsidRPr="002F5A79" w:rsidRDefault="00985AE8" w:rsidP="00985AE8">
      <w:pPr>
        <w:rPr>
          <w:rFonts w:eastAsia="MS PGothic"/>
        </w:rPr>
      </w:pPr>
      <w:r w:rsidRPr="003346DE">
        <w:rPr>
          <w:rFonts w:eastAsia="MS PGothic"/>
        </w:rPr>
        <w:t>Pour</w:t>
      </w:r>
      <w:r w:rsidRPr="00985AE8">
        <w:rPr>
          <w:rFonts w:eastAsia="MS PGothic"/>
          <w:b/>
          <w:bCs/>
        </w:rPr>
        <w:t xml:space="preserve"> DOSQUET</w:t>
      </w:r>
      <w:r w:rsidRPr="00985AE8">
        <w:rPr>
          <w:rFonts w:eastAsia="MS PGothic"/>
        </w:rPr>
        <w:t xml:space="preserve"> (2018)</w:t>
      </w:r>
      <w:r>
        <w:rPr>
          <w:rFonts w:eastAsia="MS PGothic"/>
        </w:rPr>
        <w:t xml:space="preserve">, </w:t>
      </w:r>
      <w:r w:rsidRPr="002F5A79">
        <w:rPr>
          <w:rFonts w:eastAsia="MS PGothic"/>
        </w:rPr>
        <w:t xml:space="preserve">les études ont pour objet de réduire la part de hasard dans le processus marketing, en d’autres termes de le professionnaliser en basant son diagnostic non plus sur des avis plus ou moins éclairés mais sur un socle solide en termes de statistiques et donc scientifiques. </w:t>
      </w:r>
    </w:p>
    <w:p w14:paraId="6211C9A5" w14:textId="77777777" w:rsidR="00985AE8" w:rsidRDefault="00985AE8" w:rsidP="00207A6A">
      <w:pPr>
        <w:textDirection w:val="btLr"/>
      </w:pPr>
    </w:p>
    <w:p w14:paraId="0CBA2F47" w14:textId="7EE9505B" w:rsidR="00207A6A" w:rsidRDefault="00207A6A" w:rsidP="00207A6A">
      <w:pPr>
        <w:textDirection w:val="btLr"/>
      </w:pPr>
      <w:r w:rsidRPr="00207A6A">
        <w:t>Il existe plusieurs approches pour l’étude de marché. Le choix de l’approche conditionne la méthode de collecte des données, les propriétés des données recueillies ainsi que les atouts et les limites de l’étude.</w:t>
      </w:r>
    </w:p>
    <w:p w14:paraId="57BCAD1E" w14:textId="7C4A2DB0" w:rsidR="00985AE8" w:rsidRDefault="00985AE8" w:rsidP="00207A6A">
      <w:pPr>
        <w:textDirection w:val="btLr"/>
      </w:pPr>
    </w:p>
    <w:p w14:paraId="44C7B851" w14:textId="3DEA47AB" w:rsidR="00985AE8" w:rsidRDefault="00985AE8" w:rsidP="00207A6A">
      <w:pPr>
        <w:textDirection w:val="btLr"/>
      </w:pPr>
      <w:r>
        <w:t>Le choix de l’étude dépend du problème d’étude (dépendant lui-même du problème marketing).</w:t>
      </w:r>
    </w:p>
    <w:p w14:paraId="5FCC3BF8" w14:textId="4978CFA8" w:rsidR="00985AE8" w:rsidRDefault="00985AE8" w:rsidP="00207A6A">
      <w:pPr>
        <w:textDirection w:val="btLr"/>
      </w:pPr>
      <w:r>
        <w:t>Les études qualitatives (exploratoires) seront privilégiées, dans un premier temps, pour « déf</w:t>
      </w:r>
      <w:r w:rsidR="0091578E">
        <w:t>r</w:t>
      </w:r>
      <w:r>
        <w:t>icher » les tendances du marché (que l’organisation n</w:t>
      </w:r>
      <w:r w:rsidR="0091578E">
        <w:t>e</w:t>
      </w:r>
      <w:r>
        <w:t xml:space="preserve"> maitrise pas) et comprendre en profondeur les comportements des acheteurs/consommateurs).</w:t>
      </w:r>
    </w:p>
    <w:p w14:paraId="787C8CA2" w14:textId="7D933D62" w:rsidR="00985AE8" w:rsidRPr="00207A6A" w:rsidRDefault="00985AE8" w:rsidP="00207A6A">
      <w:pPr>
        <w:textDirection w:val="btLr"/>
      </w:pPr>
      <w:r>
        <w:t>Les études quantitatives pourront alors être menées de façon à mesurer de façon plus représentative les usages, attentes (cas du sondage) et de mesurer les évolutions (cas du panel</w:t>
      </w:r>
      <w:r w:rsidR="00193337">
        <w:t>)</w:t>
      </w:r>
      <w:r>
        <w:t>.</w:t>
      </w:r>
    </w:p>
    <w:p w14:paraId="5DB4817F" w14:textId="77777777" w:rsidR="00207A6A" w:rsidRPr="00207A6A" w:rsidRDefault="00207A6A" w:rsidP="00207A6A">
      <w:pPr>
        <w:textDirection w:val="btLr"/>
      </w:pPr>
    </w:p>
    <w:p w14:paraId="70D8C2A5" w14:textId="77777777" w:rsidR="00207A6A" w:rsidRPr="00207A6A" w:rsidRDefault="00207A6A" w:rsidP="00207A6A">
      <w:pPr>
        <w:pStyle w:val="titresouspartie"/>
        <w:rPr>
          <w:rFonts w:eastAsia="Arial"/>
        </w:rPr>
      </w:pPr>
      <w:r w:rsidRPr="00207A6A">
        <w:rPr>
          <w:rFonts w:eastAsia="Arial"/>
        </w:rPr>
        <w:t>L’approche qualitative</w:t>
      </w:r>
    </w:p>
    <w:p w14:paraId="46B02828" w14:textId="77777777" w:rsidR="00207A6A" w:rsidRPr="00207A6A" w:rsidRDefault="00207A6A" w:rsidP="00207A6A">
      <w:pPr>
        <w:textDirection w:val="btLr"/>
      </w:pPr>
      <w:r w:rsidRPr="00207A6A">
        <w:t>L’approche qualitative convient aux études :</w:t>
      </w:r>
    </w:p>
    <w:p w14:paraId="6F0155E1" w14:textId="7DA0FC21" w:rsidR="00207A6A" w:rsidRPr="00207A6A" w:rsidRDefault="00207A6A" w:rsidP="00207A6A">
      <w:pPr>
        <w:pStyle w:val="Paragraphedeliste"/>
        <w:numPr>
          <w:ilvl w:val="0"/>
          <w:numId w:val="37"/>
        </w:numPr>
        <w:textDirection w:val="btLr"/>
      </w:pPr>
      <w:r w:rsidRPr="00207A6A">
        <w:t>exploratoires dont les problématiques sont inédites et dont ne disposent pas d’information permettant de cerner précisément les différentes notions qui interviennent dans le sujet d’étude</w:t>
      </w:r>
      <w:r w:rsidR="0091578E">
        <w:t> ;</w:t>
      </w:r>
    </w:p>
    <w:p w14:paraId="2148804B" w14:textId="42A0371D" w:rsidR="00207A6A" w:rsidRPr="00207A6A" w:rsidRDefault="00207A6A" w:rsidP="00207A6A">
      <w:pPr>
        <w:pStyle w:val="Paragraphedeliste"/>
        <w:numPr>
          <w:ilvl w:val="0"/>
          <w:numId w:val="37"/>
        </w:numPr>
        <w:textDirection w:val="btLr"/>
      </w:pPr>
      <w:r w:rsidRPr="00207A6A">
        <w:t>prospectives dont l’objet est de ressentir les tendances d’usages, de conso</w:t>
      </w:r>
      <w:r w:rsidR="00985AE8">
        <w:t>mmation</w:t>
      </w:r>
      <w:r w:rsidRPr="00207A6A">
        <w:t>...</w:t>
      </w:r>
    </w:p>
    <w:p w14:paraId="0DFB93F3" w14:textId="77777777" w:rsidR="00193337" w:rsidRDefault="00193337" w:rsidP="00207A6A">
      <w:pPr>
        <w:textDirection w:val="btLr"/>
      </w:pPr>
    </w:p>
    <w:p w14:paraId="1EF9B4FD" w14:textId="500F72A3" w:rsidR="00193337" w:rsidRDefault="00207A6A" w:rsidP="00207A6A">
      <w:pPr>
        <w:textDirection w:val="btLr"/>
      </w:pPr>
      <w:r w:rsidRPr="00207A6A">
        <w:lastRenderedPageBreak/>
        <w:t>Il peut alors s’agir</w:t>
      </w:r>
      <w:r w:rsidR="00193337">
        <w:t> :</w:t>
      </w:r>
    </w:p>
    <w:p w14:paraId="39E9511C" w14:textId="77777777" w:rsidR="00193337" w:rsidRDefault="00207A6A" w:rsidP="00193337">
      <w:pPr>
        <w:pStyle w:val="Paragraphedeliste"/>
        <w:numPr>
          <w:ilvl w:val="0"/>
          <w:numId w:val="37"/>
        </w:numPr>
        <w:textDirection w:val="btLr"/>
      </w:pPr>
      <w:r w:rsidRPr="00207A6A">
        <w:t xml:space="preserve">d’entretiens individuels (sur des thèmes précis opinions, perception…), </w:t>
      </w:r>
    </w:p>
    <w:p w14:paraId="1C978135" w14:textId="77777777" w:rsidR="00193337" w:rsidRDefault="00207A6A" w:rsidP="00193337">
      <w:pPr>
        <w:pStyle w:val="Paragraphedeliste"/>
        <w:numPr>
          <w:ilvl w:val="0"/>
          <w:numId w:val="37"/>
        </w:numPr>
        <w:textDirection w:val="btLr"/>
      </w:pPr>
      <w:r w:rsidRPr="00207A6A">
        <w:t xml:space="preserve">d’entretiens de groupe (Focus groups) : (sur des thèmes propices à l’échange de point de vue), </w:t>
      </w:r>
    </w:p>
    <w:p w14:paraId="128462D1" w14:textId="77777777" w:rsidR="00193337" w:rsidRDefault="00207A6A" w:rsidP="00193337">
      <w:pPr>
        <w:pStyle w:val="Paragraphedeliste"/>
        <w:numPr>
          <w:ilvl w:val="0"/>
          <w:numId w:val="37"/>
        </w:numPr>
        <w:textDirection w:val="btLr"/>
      </w:pPr>
      <w:r w:rsidRPr="00207A6A">
        <w:t xml:space="preserve">de techniques d’observation (pour des sujets difficiles à aborder car difficiles à aborder : comportements de magasinage, de consommation...), </w:t>
      </w:r>
    </w:p>
    <w:p w14:paraId="756E71EB" w14:textId="7B449E93" w:rsidR="00207A6A" w:rsidRPr="00207A6A" w:rsidRDefault="00207A6A" w:rsidP="003346DE">
      <w:pPr>
        <w:pStyle w:val="Paragraphedeliste"/>
        <w:numPr>
          <w:ilvl w:val="0"/>
          <w:numId w:val="37"/>
        </w:numPr>
        <w:textDirection w:val="btLr"/>
      </w:pPr>
      <w:r w:rsidRPr="00207A6A">
        <w:t xml:space="preserve">de techniques associatives (pour essayer de comprendre les pensées cachées). </w:t>
      </w:r>
    </w:p>
    <w:p w14:paraId="291538D0" w14:textId="77777777" w:rsidR="00207A6A" w:rsidRPr="00207A6A" w:rsidRDefault="00207A6A" w:rsidP="00207A6A">
      <w:pPr>
        <w:textDirection w:val="btLr"/>
      </w:pPr>
    </w:p>
    <w:p w14:paraId="2E314188" w14:textId="77777777" w:rsidR="00207A6A" w:rsidRPr="00207A6A" w:rsidRDefault="00207A6A" w:rsidP="00207A6A">
      <w:pPr>
        <w:pStyle w:val="titresouspartie"/>
        <w:rPr>
          <w:rFonts w:eastAsia="Arial"/>
        </w:rPr>
      </w:pPr>
      <w:r w:rsidRPr="00207A6A">
        <w:rPr>
          <w:rFonts w:eastAsia="Arial"/>
        </w:rPr>
        <w:t>L'approche quantitative</w:t>
      </w:r>
    </w:p>
    <w:p w14:paraId="32ABBA33" w14:textId="77777777" w:rsidR="00207A6A" w:rsidRPr="00207A6A" w:rsidRDefault="00207A6A" w:rsidP="00207A6A">
      <w:pPr>
        <w:textDirection w:val="btLr"/>
      </w:pPr>
      <w:r w:rsidRPr="00207A6A">
        <w:t>L'approche quantitative convient aux études qui s’inscrivent dans une logique descriptive ou confirmatoire, dont les problématiques ont un contour bien défini et les notions clés sont précises et mesurables.</w:t>
      </w:r>
    </w:p>
    <w:p w14:paraId="01130E6C" w14:textId="5ACF610F" w:rsidR="00207A6A" w:rsidRDefault="00207A6A" w:rsidP="00207A6A">
      <w:pPr>
        <w:textDirection w:val="btLr"/>
      </w:pPr>
      <w:r w:rsidRPr="00207A6A">
        <w:t>Les études quantitatives se différencient par la régularité de l’observation</w:t>
      </w:r>
      <w:r w:rsidR="000E64CD">
        <w:t xml:space="preserve"> et le public interrogé</w:t>
      </w:r>
      <w:r w:rsidRPr="00207A6A">
        <w:t>. On distingue alors l’enquête par questionnaire</w:t>
      </w:r>
      <w:r w:rsidR="000E64CD">
        <w:t xml:space="preserve">, </w:t>
      </w:r>
      <w:r w:rsidRPr="00207A6A">
        <w:t xml:space="preserve">le panel </w:t>
      </w:r>
      <w:r w:rsidR="000E64CD">
        <w:t>et le baromètre</w:t>
      </w:r>
      <w:r w:rsidRPr="00207A6A">
        <w:t>.</w:t>
      </w:r>
    </w:p>
    <w:p w14:paraId="60CB6F16" w14:textId="77777777" w:rsidR="005969BD" w:rsidRDefault="005969BD" w:rsidP="00207A6A">
      <w:pPr>
        <w:textDirection w:val="btLr"/>
      </w:pPr>
    </w:p>
    <w:tbl>
      <w:tblPr>
        <w:tblStyle w:val="Grilledutableau"/>
        <w:tblW w:w="0" w:type="auto"/>
        <w:jc w:val="center"/>
        <w:tblLook w:val="04A0" w:firstRow="1" w:lastRow="0" w:firstColumn="1" w:lastColumn="0" w:noHBand="0" w:noVBand="1"/>
      </w:tblPr>
      <w:tblGrid>
        <w:gridCol w:w="1842"/>
        <w:gridCol w:w="1842"/>
        <w:gridCol w:w="1842"/>
        <w:gridCol w:w="1842"/>
        <w:gridCol w:w="1842"/>
      </w:tblGrid>
      <w:tr w:rsidR="000E64CD" w:rsidRPr="000E64CD" w14:paraId="2CB51EA5" w14:textId="77777777" w:rsidTr="00566557">
        <w:trPr>
          <w:jc w:val="center"/>
        </w:trPr>
        <w:tc>
          <w:tcPr>
            <w:tcW w:w="1842" w:type="dxa"/>
            <w:tcBorders>
              <w:top w:val="nil"/>
              <w:left w:val="nil"/>
              <w:bottom w:val="nil"/>
              <w:right w:val="single" w:sz="4" w:space="0" w:color="auto"/>
            </w:tcBorders>
            <w:vAlign w:val="center"/>
          </w:tcPr>
          <w:p w14:paraId="7E37C077" w14:textId="77777777" w:rsidR="000E64CD" w:rsidRPr="000E64CD" w:rsidRDefault="000E64CD" w:rsidP="000E64CD">
            <w:pPr>
              <w:jc w:val="center"/>
              <w:textDirection w:val="btLr"/>
              <w:rPr>
                <w:sz w:val="20"/>
                <w:szCs w:val="20"/>
              </w:rPr>
            </w:pPr>
          </w:p>
        </w:tc>
        <w:tc>
          <w:tcPr>
            <w:tcW w:w="3684" w:type="dxa"/>
            <w:gridSpan w:val="2"/>
            <w:tcBorders>
              <w:left w:val="single" w:sz="4" w:space="0" w:color="auto"/>
            </w:tcBorders>
            <w:vAlign w:val="center"/>
          </w:tcPr>
          <w:p w14:paraId="0AC25D18" w14:textId="400E157D" w:rsidR="000E64CD" w:rsidRPr="000E64CD" w:rsidRDefault="000E64CD" w:rsidP="000E64CD">
            <w:pPr>
              <w:jc w:val="center"/>
              <w:textDirection w:val="btLr"/>
              <w:rPr>
                <w:sz w:val="20"/>
                <w:szCs w:val="20"/>
              </w:rPr>
            </w:pPr>
            <w:r w:rsidRPr="000E64CD">
              <w:rPr>
                <w:sz w:val="20"/>
                <w:szCs w:val="20"/>
              </w:rPr>
              <w:t>Groupe interrogé</w:t>
            </w:r>
          </w:p>
        </w:tc>
        <w:tc>
          <w:tcPr>
            <w:tcW w:w="3684" w:type="dxa"/>
            <w:gridSpan w:val="2"/>
            <w:vAlign w:val="center"/>
          </w:tcPr>
          <w:p w14:paraId="2E91DC17" w14:textId="4594902C" w:rsidR="000E64CD" w:rsidRPr="000E64CD" w:rsidRDefault="000E64CD" w:rsidP="000E64CD">
            <w:pPr>
              <w:jc w:val="center"/>
              <w:textDirection w:val="btLr"/>
              <w:rPr>
                <w:sz w:val="20"/>
                <w:szCs w:val="20"/>
              </w:rPr>
            </w:pPr>
            <w:r w:rsidRPr="000E64CD">
              <w:rPr>
                <w:sz w:val="20"/>
                <w:szCs w:val="20"/>
              </w:rPr>
              <w:t>Temps d’observation</w:t>
            </w:r>
          </w:p>
        </w:tc>
      </w:tr>
      <w:tr w:rsidR="000E64CD" w:rsidRPr="000E64CD" w14:paraId="37F00B84" w14:textId="77777777" w:rsidTr="00566557">
        <w:trPr>
          <w:jc w:val="center"/>
        </w:trPr>
        <w:tc>
          <w:tcPr>
            <w:tcW w:w="1842" w:type="dxa"/>
            <w:tcBorders>
              <w:top w:val="nil"/>
              <w:left w:val="nil"/>
              <w:bottom w:val="single" w:sz="4" w:space="0" w:color="auto"/>
              <w:right w:val="single" w:sz="4" w:space="0" w:color="auto"/>
            </w:tcBorders>
            <w:vAlign w:val="center"/>
          </w:tcPr>
          <w:p w14:paraId="6644C0CE" w14:textId="77777777" w:rsidR="000E64CD" w:rsidRPr="000E64CD" w:rsidRDefault="000E64CD" w:rsidP="000E64CD">
            <w:pPr>
              <w:jc w:val="center"/>
              <w:textDirection w:val="btLr"/>
              <w:rPr>
                <w:sz w:val="20"/>
                <w:szCs w:val="20"/>
              </w:rPr>
            </w:pPr>
          </w:p>
        </w:tc>
        <w:tc>
          <w:tcPr>
            <w:tcW w:w="1842" w:type="dxa"/>
            <w:tcBorders>
              <w:left w:val="single" w:sz="4" w:space="0" w:color="auto"/>
            </w:tcBorders>
            <w:vAlign w:val="center"/>
          </w:tcPr>
          <w:p w14:paraId="76A5960B" w14:textId="0A9E545E" w:rsidR="000E64CD" w:rsidRPr="000E64CD" w:rsidRDefault="000E64CD" w:rsidP="000E64CD">
            <w:pPr>
              <w:jc w:val="center"/>
              <w:textDirection w:val="btLr"/>
              <w:rPr>
                <w:sz w:val="20"/>
                <w:szCs w:val="20"/>
              </w:rPr>
            </w:pPr>
            <w:r w:rsidRPr="000E64CD">
              <w:rPr>
                <w:sz w:val="20"/>
                <w:szCs w:val="20"/>
              </w:rPr>
              <w:t>Constitué pour l’enquête</w:t>
            </w:r>
          </w:p>
        </w:tc>
        <w:tc>
          <w:tcPr>
            <w:tcW w:w="1842" w:type="dxa"/>
            <w:vAlign w:val="center"/>
          </w:tcPr>
          <w:p w14:paraId="497A23D3" w14:textId="06F638D7" w:rsidR="000E64CD" w:rsidRPr="000E64CD" w:rsidRDefault="000E64CD" w:rsidP="000E64CD">
            <w:pPr>
              <w:jc w:val="center"/>
              <w:textDirection w:val="btLr"/>
              <w:rPr>
                <w:sz w:val="20"/>
                <w:szCs w:val="20"/>
              </w:rPr>
            </w:pPr>
            <w:r w:rsidRPr="000E64CD">
              <w:rPr>
                <w:sz w:val="20"/>
                <w:szCs w:val="20"/>
              </w:rPr>
              <w:t>Constitué de façon permanente</w:t>
            </w:r>
          </w:p>
        </w:tc>
        <w:tc>
          <w:tcPr>
            <w:tcW w:w="1842" w:type="dxa"/>
            <w:vAlign w:val="center"/>
          </w:tcPr>
          <w:p w14:paraId="6DBD2AFE" w14:textId="014C0117" w:rsidR="000E64CD" w:rsidRPr="000E64CD" w:rsidRDefault="000E64CD" w:rsidP="000E64CD">
            <w:pPr>
              <w:jc w:val="center"/>
              <w:textDirection w:val="btLr"/>
              <w:rPr>
                <w:sz w:val="20"/>
                <w:szCs w:val="20"/>
              </w:rPr>
            </w:pPr>
            <w:r w:rsidRPr="000E64CD">
              <w:rPr>
                <w:sz w:val="20"/>
                <w:szCs w:val="20"/>
              </w:rPr>
              <w:t>Ponctuel</w:t>
            </w:r>
          </w:p>
        </w:tc>
        <w:tc>
          <w:tcPr>
            <w:tcW w:w="1842" w:type="dxa"/>
            <w:vAlign w:val="center"/>
          </w:tcPr>
          <w:p w14:paraId="0D274E35" w14:textId="0BCC1895" w:rsidR="000E64CD" w:rsidRPr="000E64CD" w:rsidRDefault="000E64CD" w:rsidP="000E64CD">
            <w:pPr>
              <w:jc w:val="center"/>
              <w:textDirection w:val="btLr"/>
              <w:rPr>
                <w:sz w:val="20"/>
                <w:szCs w:val="20"/>
              </w:rPr>
            </w:pPr>
            <w:r w:rsidRPr="000E64CD">
              <w:rPr>
                <w:sz w:val="20"/>
                <w:szCs w:val="20"/>
              </w:rPr>
              <w:t>Permanent</w:t>
            </w:r>
          </w:p>
        </w:tc>
      </w:tr>
      <w:tr w:rsidR="000E64CD" w:rsidRPr="000E64CD" w14:paraId="5E843075" w14:textId="77777777" w:rsidTr="00566557">
        <w:trPr>
          <w:jc w:val="center"/>
        </w:trPr>
        <w:tc>
          <w:tcPr>
            <w:tcW w:w="1842" w:type="dxa"/>
            <w:tcBorders>
              <w:top w:val="single" w:sz="4" w:space="0" w:color="auto"/>
            </w:tcBorders>
            <w:vAlign w:val="center"/>
          </w:tcPr>
          <w:p w14:paraId="3B6573F0" w14:textId="686EC543" w:rsidR="000E64CD" w:rsidRPr="000E64CD" w:rsidRDefault="000E64CD" w:rsidP="000E64CD">
            <w:pPr>
              <w:jc w:val="center"/>
              <w:textDirection w:val="btLr"/>
              <w:rPr>
                <w:sz w:val="20"/>
                <w:szCs w:val="20"/>
              </w:rPr>
            </w:pPr>
            <w:r w:rsidRPr="000E64CD">
              <w:rPr>
                <w:sz w:val="20"/>
                <w:szCs w:val="20"/>
              </w:rPr>
              <w:t>Enquête</w:t>
            </w:r>
          </w:p>
        </w:tc>
        <w:tc>
          <w:tcPr>
            <w:tcW w:w="1842" w:type="dxa"/>
            <w:vAlign w:val="center"/>
          </w:tcPr>
          <w:p w14:paraId="3E1D896A" w14:textId="2EEF3AD1" w:rsidR="000E64CD" w:rsidRPr="000E64CD" w:rsidRDefault="000E64CD" w:rsidP="000E64CD">
            <w:pPr>
              <w:jc w:val="center"/>
              <w:textDirection w:val="btLr"/>
              <w:rPr>
                <w:sz w:val="20"/>
                <w:szCs w:val="20"/>
              </w:rPr>
            </w:pPr>
            <w:r w:rsidRPr="000E64CD">
              <w:rPr>
                <w:sz w:val="20"/>
                <w:szCs w:val="20"/>
              </w:rPr>
              <w:t>x</w:t>
            </w:r>
          </w:p>
        </w:tc>
        <w:tc>
          <w:tcPr>
            <w:tcW w:w="1842" w:type="dxa"/>
            <w:vAlign w:val="center"/>
          </w:tcPr>
          <w:p w14:paraId="0E2D8F70" w14:textId="77777777" w:rsidR="000E64CD" w:rsidRPr="000E64CD" w:rsidRDefault="000E64CD" w:rsidP="000E64CD">
            <w:pPr>
              <w:jc w:val="center"/>
              <w:textDirection w:val="btLr"/>
              <w:rPr>
                <w:sz w:val="20"/>
                <w:szCs w:val="20"/>
              </w:rPr>
            </w:pPr>
          </w:p>
        </w:tc>
        <w:tc>
          <w:tcPr>
            <w:tcW w:w="1842" w:type="dxa"/>
            <w:vAlign w:val="center"/>
          </w:tcPr>
          <w:p w14:paraId="04E46CB2" w14:textId="5B944DC9" w:rsidR="000E64CD" w:rsidRPr="000E64CD" w:rsidRDefault="000E64CD" w:rsidP="000E64CD">
            <w:pPr>
              <w:jc w:val="center"/>
              <w:textDirection w:val="btLr"/>
              <w:rPr>
                <w:sz w:val="20"/>
                <w:szCs w:val="20"/>
              </w:rPr>
            </w:pPr>
            <w:r w:rsidRPr="000E64CD">
              <w:rPr>
                <w:sz w:val="20"/>
                <w:szCs w:val="20"/>
              </w:rPr>
              <w:t>x</w:t>
            </w:r>
          </w:p>
        </w:tc>
        <w:tc>
          <w:tcPr>
            <w:tcW w:w="1842" w:type="dxa"/>
            <w:vAlign w:val="center"/>
          </w:tcPr>
          <w:p w14:paraId="4A2A9432" w14:textId="77777777" w:rsidR="000E64CD" w:rsidRPr="000E64CD" w:rsidRDefault="000E64CD" w:rsidP="000E64CD">
            <w:pPr>
              <w:jc w:val="center"/>
              <w:textDirection w:val="btLr"/>
              <w:rPr>
                <w:sz w:val="20"/>
                <w:szCs w:val="20"/>
              </w:rPr>
            </w:pPr>
          </w:p>
        </w:tc>
      </w:tr>
      <w:tr w:rsidR="000E64CD" w:rsidRPr="000E64CD" w14:paraId="57207E82" w14:textId="77777777" w:rsidTr="000E64CD">
        <w:trPr>
          <w:jc w:val="center"/>
        </w:trPr>
        <w:tc>
          <w:tcPr>
            <w:tcW w:w="1842" w:type="dxa"/>
            <w:vAlign w:val="center"/>
          </w:tcPr>
          <w:p w14:paraId="1043E0BB" w14:textId="4E39BB9B" w:rsidR="000E64CD" w:rsidRPr="000E64CD" w:rsidRDefault="000E64CD" w:rsidP="000E64CD">
            <w:pPr>
              <w:jc w:val="center"/>
              <w:textDirection w:val="btLr"/>
              <w:rPr>
                <w:sz w:val="20"/>
                <w:szCs w:val="20"/>
              </w:rPr>
            </w:pPr>
            <w:r w:rsidRPr="000E64CD">
              <w:rPr>
                <w:sz w:val="20"/>
                <w:szCs w:val="20"/>
              </w:rPr>
              <w:t>Panel</w:t>
            </w:r>
          </w:p>
        </w:tc>
        <w:tc>
          <w:tcPr>
            <w:tcW w:w="1842" w:type="dxa"/>
            <w:vAlign w:val="center"/>
          </w:tcPr>
          <w:p w14:paraId="171132D0" w14:textId="77777777" w:rsidR="000E64CD" w:rsidRPr="000E64CD" w:rsidRDefault="000E64CD" w:rsidP="000E64CD">
            <w:pPr>
              <w:jc w:val="center"/>
              <w:textDirection w:val="btLr"/>
              <w:rPr>
                <w:sz w:val="20"/>
                <w:szCs w:val="20"/>
              </w:rPr>
            </w:pPr>
          </w:p>
        </w:tc>
        <w:tc>
          <w:tcPr>
            <w:tcW w:w="1842" w:type="dxa"/>
            <w:vAlign w:val="center"/>
          </w:tcPr>
          <w:p w14:paraId="09D716FB" w14:textId="2AB02BEF" w:rsidR="000E64CD" w:rsidRPr="000E64CD" w:rsidRDefault="000E64CD" w:rsidP="000E64CD">
            <w:pPr>
              <w:jc w:val="center"/>
              <w:textDirection w:val="btLr"/>
              <w:rPr>
                <w:sz w:val="20"/>
                <w:szCs w:val="20"/>
              </w:rPr>
            </w:pPr>
            <w:r w:rsidRPr="000E64CD">
              <w:rPr>
                <w:sz w:val="20"/>
                <w:szCs w:val="20"/>
              </w:rPr>
              <w:t>x</w:t>
            </w:r>
          </w:p>
        </w:tc>
        <w:tc>
          <w:tcPr>
            <w:tcW w:w="1842" w:type="dxa"/>
            <w:vAlign w:val="center"/>
          </w:tcPr>
          <w:p w14:paraId="1B993E41" w14:textId="77777777" w:rsidR="000E64CD" w:rsidRPr="000E64CD" w:rsidRDefault="000E64CD" w:rsidP="000E64CD">
            <w:pPr>
              <w:jc w:val="center"/>
              <w:textDirection w:val="btLr"/>
              <w:rPr>
                <w:sz w:val="20"/>
                <w:szCs w:val="20"/>
              </w:rPr>
            </w:pPr>
          </w:p>
        </w:tc>
        <w:tc>
          <w:tcPr>
            <w:tcW w:w="1842" w:type="dxa"/>
            <w:vAlign w:val="center"/>
          </w:tcPr>
          <w:p w14:paraId="60F5F763" w14:textId="6379002B" w:rsidR="000E64CD" w:rsidRPr="000E64CD" w:rsidRDefault="000E64CD" w:rsidP="000E64CD">
            <w:pPr>
              <w:jc w:val="center"/>
              <w:textDirection w:val="btLr"/>
              <w:rPr>
                <w:sz w:val="20"/>
                <w:szCs w:val="20"/>
              </w:rPr>
            </w:pPr>
            <w:r w:rsidRPr="000E64CD">
              <w:rPr>
                <w:sz w:val="20"/>
                <w:szCs w:val="20"/>
              </w:rPr>
              <w:t>x</w:t>
            </w:r>
          </w:p>
        </w:tc>
      </w:tr>
      <w:tr w:rsidR="000E64CD" w:rsidRPr="000E64CD" w14:paraId="1C21FEBB" w14:textId="77777777" w:rsidTr="000E64CD">
        <w:trPr>
          <w:jc w:val="center"/>
        </w:trPr>
        <w:tc>
          <w:tcPr>
            <w:tcW w:w="1842" w:type="dxa"/>
            <w:vAlign w:val="center"/>
          </w:tcPr>
          <w:p w14:paraId="14A2307F" w14:textId="48B36B1F" w:rsidR="000E64CD" w:rsidRPr="000E64CD" w:rsidRDefault="000E64CD" w:rsidP="000E64CD">
            <w:pPr>
              <w:jc w:val="center"/>
              <w:textDirection w:val="btLr"/>
              <w:rPr>
                <w:sz w:val="20"/>
                <w:szCs w:val="20"/>
              </w:rPr>
            </w:pPr>
            <w:r w:rsidRPr="000E64CD">
              <w:rPr>
                <w:sz w:val="20"/>
                <w:szCs w:val="20"/>
              </w:rPr>
              <w:t>Baromètre</w:t>
            </w:r>
          </w:p>
        </w:tc>
        <w:tc>
          <w:tcPr>
            <w:tcW w:w="1842" w:type="dxa"/>
            <w:vAlign w:val="center"/>
          </w:tcPr>
          <w:p w14:paraId="2D2B47DD" w14:textId="77777777" w:rsidR="000E64CD" w:rsidRPr="000E64CD" w:rsidRDefault="000E64CD" w:rsidP="000E64CD">
            <w:pPr>
              <w:jc w:val="center"/>
              <w:textDirection w:val="btLr"/>
              <w:rPr>
                <w:sz w:val="20"/>
                <w:szCs w:val="20"/>
              </w:rPr>
            </w:pPr>
          </w:p>
        </w:tc>
        <w:tc>
          <w:tcPr>
            <w:tcW w:w="1842" w:type="dxa"/>
            <w:vAlign w:val="center"/>
          </w:tcPr>
          <w:p w14:paraId="7070A6F3" w14:textId="439238A8" w:rsidR="000E64CD" w:rsidRPr="000E64CD" w:rsidRDefault="000E64CD" w:rsidP="000E64CD">
            <w:pPr>
              <w:jc w:val="center"/>
              <w:textDirection w:val="btLr"/>
              <w:rPr>
                <w:sz w:val="20"/>
                <w:szCs w:val="20"/>
              </w:rPr>
            </w:pPr>
            <w:r w:rsidRPr="000E64CD">
              <w:rPr>
                <w:sz w:val="20"/>
                <w:szCs w:val="20"/>
              </w:rPr>
              <w:t>x</w:t>
            </w:r>
          </w:p>
        </w:tc>
        <w:tc>
          <w:tcPr>
            <w:tcW w:w="1842" w:type="dxa"/>
            <w:vAlign w:val="center"/>
          </w:tcPr>
          <w:p w14:paraId="2CC1A4ED" w14:textId="34085DE5" w:rsidR="000E64CD" w:rsidRPr="000E64CD" w:rsidRDefault="000E64CD" w:rsidP="000E64CD">
            <w:pPr>
              <w:jc w:val="center"/>
              <w:textDirection w:val="btLr"/>
              <w:rPr>
                <w:sz w:val="20"/>
                <w:szCs w:val="20"/>
              </w:rPr>
            </w:pPr>
            <w:r w:rsidRPr="000E64CD">
              <w:rPr>
                <w:sz w:val="20"/>
                <w:szCs w:val="20"/>
              </w:rPr>
              <w:t>x</w:t>
            </w:r>
          </w:p>
        </w:tc>
        <w:tc>
          <w:tcPr>
            <w:tcW w:w="1842" w:type="dxa"/>
            <w:vAlign w:val="center"/>
          </w:tcPr>
          <w:p w14:paraId="1BE0DA43" w14:textId="77777777" w:rsidR="000E64CD" w:rsidRPr="000E64CD" w:rsidRDefault="000E64CD" w:rsidP="000E64CD">
            <w:pPr>
              <w:jc w:val="center"/>
              <w:textDirection w:val="btLr"/>
              <w:rPr>
                <w:sz w:val="20"/>
                <w:szCs w:val="20"/>
              </w:rPr>
            </w:pPr>
          </w:p>
        </w:tc>
      </w:tr>
    </w:tbl>
    <w:p w14:paraId="01D3052A" w14:textId="1779C0FA" w:rsidR="000E64CD" w:rsidRDefault="000E64CD" w:rsidP="00207A6A">
      <w:pPr>
        <w:textDirection w:val="btLr"/>
      </w:pPr>
    </w:p>
    <w:p w14:paraId="531CFB2F" w14:textId="77777777" w:rsidR="00207A6A" w:rsidRPr="00207A6A" w:rsidRDefault="00207A6A" w:rsidP="00207A6A">
      <w:pPr>
        <w:textDirection w:val="btLr"/>
      </w:pPr>
    </w:p>
    <w:p w14:paraId="19DD0B86" w14:textId="77777777" w:rsidR="00207A6A" w:rsidRPr="00207A6A" w:rsidRDefault="00207A6A" w:rsidP="00207A6A">
      <w:pPr>
        <w:pStyle w:val="titresouspartie"/>
        <w:rPr>
          <w:rFonts w:eastAsia="Arial"/>
        </w:rPr>
      </w:pPr>
      <w:r w:rsidRPr="00207A6A">
        <w:rPr>
          <w:rFonts w:eastAsia="Arial"/>
        </w:rPr>
        <w:t>L'avènement d’Internet</w:t>
      </w:r>
    </w:p>
    <w:p w14:paraId="500FE3A1" w14:textId="77777777" w:rsidR="00207A6A" w:rsidRPr="00207A6A" w:rsidRDefault="00207A6A" w:rsidP="00207A6A">
      <w:pPr>
        <w:textDirection w:val="btLr"/>
      </w:pPr>
      <w:r w:rsidRPr="00207A6A">
        <w:t>L'avènement d’Internet, des médias numériques et du cloud (le big data) ont rendu possible la collecte et la sauvegarde d’informations. De ce fait, l’entreprise n’a plus besoin de restreindre sa collecte de données (échantillon plus large), de questionner ses clients (plus de biais déclaratif), de limiter les temps de collecte.</w:t>
      </w:r>
    </w:p>
    <w:p w14:paraId="0C9C6A10" w14:textId="77777777" w:rsidR="00207A6A" w:rsidRPr="00207A6A" w:rsidRDefault="00207A6A" w:rsidP="00207A6A">
      <w:pPr>
        <w:textDirection w:val="btLr"/>
      </w:pPr>
      <w:r w:rsidRPr="00207A6A">
        <w:t>Ces approches ont l'intérêt de proposer une information dédiée à la problématique du moment.</w:t>
      </w:r>
    </w:p>
    <w:p w14:paraId="2B2197C7" w14:textId="77777777" w:rsidR="005029A1" w:rsidRDefault="005029A1" w:rsidP="00207A6A">
      <w:pPr>
        <w:textDirection w:val="btLr"/>
      </w:pPr>
    </w:p>
    <w:p w14:paraId="679DA1BB" w14:textId="470F2595" w:rsidR="00207A6A" w:rsidRPr="00207A6A" w:rsidRDefault="00207A6A" w:rsidP="00207A6A">
      <w:pPr>
        <w:textDirection w:val="btLr"/>
      </w:pPr>
      <w:r w:rsidRPr="00207A6A">
        <w:t>Les études documentaires peuvent compléter cette collecte et il s’agit de rechercher des informations secondaires sur des sources externes (presse…) ou internes (rapports, compte rendus)... Une veille sur ces outils est à envisager.</w:t>
      </w:r>
    </w:p>
    <w:p w14:paraId="25526C6F" w14:textId="77777777" w:rsidR="00207A6A" w:rsidRPr="00207A6A" w:rsidRDefault="00207A6A" w:rsidP="00207A6A">
      <w:pPr>
        <w:textDirection w:val="btLr"/>
      </w:pPr>
    </w:p>
    <w:p w14:paraId="6616AE92" w14:textId="77777777" w:rsidR="00207A6A" w:rsidRPr="00207A6A" w:rsidRDefault="00207A6A" w:rsidP="00207A6A">
      <w:pPr>
        <w:pStyle w:val="titrepartie"/>
        <w:rPr>
          <w:rFonts w:eastAsia="Arial"/>
        </w:rPr>
      </w:pPr>
      <w:r w:rsidRPr="00207A6A">
        <w:rPr>
          <w:rFonts w:eastAsia="Arial"/>
        </w:rPr>
        <w:t>Repères bibliographiques et sitographies </w:t>
      </w:r>
    </w:p>
    <w:p w14:paraId="0F34057D" w14:textId="77777777" w:rsidR="00207A6A" w:rsidRPr="00207A6A" w:rsidRDefault="00207A6A" w:rsidP="00207A6A">
      <w:pPr>
        <w:textDirection w:val="btLr"/>
      </w:pPr>
      <w:r w:rsidRPr="00207A6A">
        <w:t>Le marketing en schéma, Ellipse, partie 4</w:t>
      </w:r>
    </w:p>
    <w:p w14:paraId="59C335D8" w14:textId="77777777" w:rsidR="00207A6A" w:rsidRPr="00207A6A" w:rsidRDefault="00207A6A" w:rsidP="00207A6A">
      <w:pPr>
        <w:textDirection w:val="btLr"/>
      </w:pPr>
      <w:r w:rsidRPr="00207A6A">
        <w:t>Mercator, Les Fiches de révision du Mercator Edition 2017 Page 8 et 9</w:t>
      </w:r>
    </w:p>
    <w:p w14:paraId="30F58A78" w14:textId="77777777" w:rsidR="00207A6A" w:rsidRDefault="00207A6A" w:rsidP="00207A6A">
      <w:pPr>
        <w:jc w:val="left"/>
      </w:pPr>
    </w:p>
    <w:p w14:paraId="330DD7DD" w14:textId="77719BBF" w:rsidR="00AE0B21" w:rsidRDefault="00AE0B21">
      <w:pPr>
        <w:jc w:val="left"/>
        <w:rPr>
          <w:b/>
          <w:bCs/>
          <w:color w:val="7D9BFF"/>
          <w:sz w:val="28"/>
          <w:szCs w:val="28"/>
        </w:rPr>
      </w:pPr>
    </w:p>
    <w:sectPr w:rsidR="00AE0B21" w:rsidSect="0065383A">
      <w:footerReference w:type="default" r:id="rId7"/>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E13D2" w14:textId="77777777" w:rsidR="009576AE" w:rsidRDefault="009576AE">
      <w:r>
        <w:separator/>
      </w:r>
    </w:p>
  </w:endnote>
  <w:endnote w:type="continuationSeparator" w:id="0">
    <w:p w14:paraId="626A0386" w14:textId="77777777" w:rsidR="009576AE" w:rsidRDefault="0095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E96A0" w14:textId="4E425B98"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58240" behindDoc="0" locked="0" layoutInCell="1" allowOverlap="1" wp14:anchorId="18A63E21" wp14:editId="29918EA5">
          <wp:simplePos x="0" y="0"/>
          <wp:positionH relativeFrom="column">
            <wp:posOffset>1866646</wp:posOffset>
          </wp:positionH>
          <wp:positionV relativeFrom="paragraph">
            <wp:posOffset>10464</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E738DC">
      <w:t xml:space="preserve">Septembre </w:t>
    </w:r>
    <w:r w:rsidR="005969BD">
      <w:t>2020</w:t>
    </w:r>
    <w:r w:rsidR="00D34E9A">
      <w:t xml:space="preserve"> –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DB173" w14:textId="77777777" w:rsidR="009576AE" w:rsidRDefault="009576AE">
      <w:r>
        <w:separator/>
      </w:r>
    </w:p>
  </w:footnote>
  <w:footnote w:type="continuationSeparator" w:id="0">
    <w:p w14:paraId="69B81C2C" w14:textId="77777777" w:rsidR="009576AE" w:rsidRDefault="00957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700A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CA1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4E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AF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FA26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6"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7"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8"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9" w15:restartNumberingAfterBreak="0">
    <w:nsid w:val="10A9606C"/>
    <w:multiLevelType w:val="hybridMultilevel"/>
    <w:tmpl w:val="271E2A28"/>
    <w:lvl w:ilvl="0" w:tplc="69A2D8B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668427E"/>
    <w:multiLevelType w:val="hybridMultilevel"/>
    <w:tmpl w:val="1EAE6346"/>
    <w:lvl w:ilvl="0" w:tplc="4E1600D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596D"/>
    <w:multiLevelType w:val="hybridMultilevel"/>
    <w:tmpl w:val="217CDCC0"/>
    <w:lvl w:ilvl="0" w:tplc="CD0E0CB0">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25A43"/>
    <w:multiLevelType w:val="multilevel"/>
    <w:tmpl w:val="DDD48734"/>
    <w:numStyleLink w:val="ListeCerta"/>
  </w:abstractNum>
  <w:abstractNum w:abstractNumId="14" w15:restartNumberingAfterBreak="0">
    <w:nsid w:val="1E5A1ED1"/>
    <w:multiLevelType w:val="multilevel"/>
    <w:tmpl w:val="DDD48734"/>
    <w:numStyleLink w:val="ListeCerta"/>
  </w:abstractNum>
  <w:abstractNum w:abstractNumId="15" w15:restartNumberingAfterBreak="0">
    <w:nsid w:val="1EBC41D6"/>
    <w:multiLevelType w:val="hybridMultilevel"/>
    <w:tmpl w:val="CA98AE5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6" w15:restartNumberingAfterBreak="0">
    <w:nsid w:val="1FF51FED"/>
    <w:multiLevelType w:val="hybridMultilevel"/>
    <w:tmpl w:val="CE3C785E"/>
    <w:lvl w:ilvl="0" w:tplc="2A602612">
      <w:numFmt w:val="bullet"/>
      <w:lvlText w:val=""/>
      <w:lvlJc w:val="left"/>
      <w:pPr>
        <w:ind w:left="720" w:hanging="360"/>
      </w:pPr>
      <w:rPr>
        <w:rFonts w:ascii="Wingdings" w:eastAsia="Times New Roman"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A6198E"/>
    <w:multiLevelType w:val="multilevel"/>
    <w:tmpl w:val="5FDCEE8C"/>
    <w:numStyleLink w:val="ListeCertamanipulation"/>
  </w:abstractNum>
  <w:abstractNum w:abstractNumId="18"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2" w15:restartNumberingAfterBreak="0">
    <w:nsid w:val="29AE322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BFB7E2C"/>
    <w:multiLevelType w:val="multilevel"/>
    <w:tmpl w:val="52C85A08"/>
    <w:numStyleLink w:val="ListeCertaTAF"/>
  </w:abstractNum>
  <w:abstractNum w:abstractNumId="25" w15:restartNumberingAfterBreak="0">
    <w:nsid w:val="2C0878CE"/>
    <w:multiLevelType w:val="multilevel"/>
    <w:tmpl w:val="7DFE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5FA710C"/>
    <w:multiLevelType w:val="multilevel"/>
    <w:tmpl w:val="DDD48734"/>
    <w:numStyleLink w:val="ListeCerta"/>
  </w:abstractNum>
  <w:abstractNum w:abstractNumId="29" w15:restartNumberingAfterBreak="0">
    <w:nsid w:val="39D43EDC"/>
    <w:multiLevelType w:val="multilevel"/>
    <w:tmpl w:val="DDD48734"/>
    <w:numStyleLink w:val="ListeCerta"/>
  </w:abstractNum>
  <w:abstractNum w:abstractNumId="30" w15:restartNumberingAfterBreak="0">
    <w:nsid w:val="42C94816"/>
    <w:multiLevelType w:val="multilevel"/>
    <w:tmpl w:val="DDD48734"/>
    <w:numStyleLink w:val="ListeCerta"/>
  </w:abstractNum>
  <w:abstractNum w:abstractNumId="31"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4093DA0"/>
    <w:multiLevelType w:val="multilevel"/>
    <w:tmpl w:val="52C85A08"/>
    <w:numStyleLink w:val="ListeCertaTAF"/>
  </w:abstractNum>
  <w:abstractNum w:abstractNumId="33"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5B341C05"/>
    <w:multiLevelType w:val="hybridMultilevel"/>
    <w:tmpl w:val="C6A646C0"/>
    <w:lvl w:ilvl="0" w:tplc="FDB81B90">
      <w:numFmt w:val="bullet"/>
      <w:lvlText w:val=""/>
      <w:lvlJc w:val="left"/>
      <w:pPr>
        <w:ind w:left="720" w:hanging="360"/>
      </w:pPr>
      <w:rPr>
        <w:rFonts w:ascii="Wingdings" w:eastAsia="Calibri" w:hAnsi="Wingdings"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C492B68"/>
    <w:multiLevelType w:val="multilevel"/>
    <w:tmpl w:val="E466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A5284B"/>
    <w:multiLevelType w:val="hybridMultilevel"/>
    <w:tmpl w:val="99943DCA"/>
    <w:lvl w:ilvl="0" w:tplc="9372E944">
      <w:numFmt w:val="bullet"/>
      <w:lvlText w:val="-"/>
      <w:lvlJc w:val="left"/>
      <w:pPr>
        <w:ind w:left="784" w:hanging="360"/>
      </w:pPr>
      <w:rPr>
        <w:rFonts w:ascii="Calibri" w:eastAsia="Arial" w:hAnsi="Calibri" w:cs="Calibri" w:hint="default"/>
        <w:color w:val="000000"/>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41" w15:restartNumberingAfterBreak="0">
    <w:nsid w:val="6E9518AA"/>
    <w:multiLevelType w:val="multilevel"/>
    <w:tmpl w:val="DDD48734"/>
    <w:numStyleLink w:val="ListeCerta"/>
  </w:abstractNum>
  <w:abstractNum w:abstractNumId="42" w15:restartNumberingAfterBreak="0">
    <w:nsid w:val="72E175CC"/>
    <w:multiLevelType w:val="multilevel"/>
    <w:tmpl w:val="E0BE7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2B7C6C"/>
    <w:multiLevelType w:val="multilevel"/>
    <w:tmpl w:val="DDD48734"/>
    <w:numStyleLink w:val="ListeCerta"/>
  </w:abstractNum>
  <w:abstractNum w:abstractNumId="44" w15:restartNumberingAfterBreak="0">
    <w:nsid w:val="78C150B0"/>
    <w:multiLevelType w:val="multilevel"/>
    <w:tmpl w:val="6A30413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bullet"/>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7C517020"/>
    <w:multiLevelType w:val="hybridMultilevel"/>
    <w:tmpl w:val="9D72A02A"/>
    <w:lvl w:ilvl="0" w:tplc="1C94A62E">
      <w:numFmt w:val="bullet"/>
      <w:lvlText w:val=""/>
      <w:lvlJc w:val="left"/>
      <w:pPr>
        <w:ind w:left="720" w:hanging="360"/>
      </w:pPr>
      <w:rPr>
        <w:rFonts w:ascii="Wingdings" w:eastAsia="Times New Roman" w:hAnsi="Wingdings" w:cstheme="minorHAnsi"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34"/>
  </w:num>
  <w:num w:numId="4">
    <w:abstractNumId w:val="18"/>
  </w:num>
  <w:num w:numId="5">
    <w:abstractNumId w:val="7"/>
  </w:num>
  <w:num w:numId="6">
    <w:abstractNumId w:val="33"/>
  </w:num>
  <w:num w:numId="7">
    <w:abstractNumId w:val="44"/>
  </w:num>
  <w:num w:numId="8">
    <w:abstractNumId w:val="10"/>
  </w:num>
  <w:num w:numId="9">
    <w:abstractNumId w:val="39"/>
  </w:num>
  <w:num w:numId="10">
    <w:abstractNumId w:val="43"/>
  </w:num>
  <w:num w:numId="11">
    <w:abstractNumId w:val="28"/>
  </w:num>
  <w:num w:numId="12">
    <w:abstractNumId w:val="19"/>
  </w:num>
  <w:num w:numId="13">
    <w:abstractNumId w:val="17"/>
  </w:num>
  <w:num w:numId="14">
    <w:abstractNumId w:val="31"/>
  </w:num>
  <w:num w:numId="15">
    <w:abstractNumId w:val="24"/>
  </w:num>
  <w:num w:numId="16">
    <w:abstractNumId w:val="3"/>
  </w:num>
  <w:num w:numId="17">
    <w:abstractNumId w:val="2"/>
  </w:num>
  <w:num w:numId="18">
    <w:abstractNumId w:val="1"/>
  </w:num>
  <w:num w:numId="19">
    <w:abstractNumId w:val="0"/>
  </w:num>
  <w:num w:numId="20">
    <w:abstractNumId w:val="4"/>
  </w:num>
  <w:num w:numId="21">
    <w:abstractNumId w:val="32"/>
  </w:num>
  <w:num w:numId="22">
    <w:abstractNumId w:val="13"/>
  </w:num>
  <w:num w:numId="23">
    <w:abstractNumId w:val="41"/>
  </w:num>
  <w:num w:numId="24">
    <w:abstractNumId w:val="14"/>
  </w:num>
  <w:num w:numId="25">
    <w:abstractNumId w:val="30"/>
  </w:num>
  <w:num w:numId="26">
    <w:abstractNumId w:val="29"/>
  </w:num>
  <w:num w:numId="27">
    <w:abstractNumId w:val="22"/>
  </w:num>
  <w:num w:numId="28">
    <w:abstractNumId w:val="38"/>
  </w:num>
  <w:num w:numId="29">
    <w:abstractNumId w:val="42"/>
  </w:num>
  <w:num w:numId="30">
    <w:abstractNumId w:val="37"/>
  </w:num>
  <w:num w:numId="31">
    <w:abstractNumId w:val="9"/>
  </w:num>
  <w:num w:numId="32">
    <w:abstractNumId w:val="15"/>
  </w:num>
  <w:num w:numId="33">
    <w:abstractNumId w:val="25"/>
  </w:num>
  <w:num w:numId="34">
    <w:abstractNumId w:val="16"/>
  </w:num>
  <w:num w:numId="35">
    <w:abstractNumId w:val="12"/>
  </w:num>
  <w:num w:numId="36">
    <w:abstractNumId w:val="45"/>
  </w:num>
  <w:num w:numId="37">
    <w:abstractNumId w:val="40"/>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6288"/>
    <w:rsid w:val="00007920"/>
    <w:rsid w:val="00024892"/>
    <w:rsid w:val="0002588A"/>
    <w:rsid w:val="000336B2"/>
    <w:rsid w:val="000377F0"/>
    <w:rsid w:val="000436A1"/>
    <w:rsid w:val="000440E3"/>
    <w:rsid w:val="00047A0A"/>
    <w:rsid w:val="000530E8"/>
    <w:rsid w:val="00083CDC"/>
    <w:rsid w:val="00086D0E"/>
    <w:rsid w:val="00087D4D"/>
    <w:rsid w:val="00094A4C"/>
    <w:rsid w:val="000A5208"/>
    <w:rsid w:val="000A66F0"/>
    <w:rsid w:val="000B0EF4"/>
    <w:rsid w:val="000C3C29"/>
    <w:rsid w:val="000D182E"/>
    <w:rsid w:val="000D65E3"/>
    <w:rsid w:val="000D7920"/>
    <w:rsid w:val="000E1F7F"/>
    <w:rsid w:val="000E6013"/>
    <w:rsid w:val="000E64CD"/>
    <w:rsid w:val="000F25FB"/>
    <w:rsid w:val="00105052"/>
    <w:rsid w:val="0011780E"/>
    <w:rsid w:val="00130DB5"/>
    <w:rsid w:val="00132442"/>
    <w:rsid w:val="00145169"/>
    <w:rsid w:val="0015038D"/>
    <w:rsid w:val="00157C76"/>
    <w:rsid w:val="00193337"/>
    <w:rsid w:val="001976C5"/>
    <w:rsid w:val="001A25D0"/>
    <w:rsid w:val="001B42FD"/>
    <w:rsid w:val="001C28E3"/>
    <w:rsid w:val="001C778B"/>
    <w:rsid w:val="001E35B9"/>
    <w:rsid w:val="001F3DA2"/>
    <w:rsid w:val="0020520C"/>
    <w:rsid w:val="00206696"/>
    <w:rsid w:val="00207A6A"/>
    <w:rsid w:val="002137CD"/>
    <w:rsid w:val="00213B49"/>
    <w:rsid w:val="0022468E"/>
    <w:rsid w:val="00231493"/>
    <w:rsid w:val="00234579"/>
    <w:rsid w:val="00253A53"/>
    <w:rsid w:val="002559DC"/>
    <w:rsid w:val="00276A47"/>
    <w:rsid w:val="002840E6"/>
    <w:rsid w:val="00284892"/>
    <w:rsid w:val="00297102"/>
    <w:rsid w:val="002B4D03"/>
    <w:rsid w:val="002C72B2"/>
    <w:rsid w:val="002C7506"/>
    <w:rsid w:val="002E6C45"/>
    <w:rsid w:val="002F0CB1"/>
    <w:rsid w:val="00301A80"/>
    <w:rsid w:val="00317904"/>
    <w:rsid w:val="00317DD6"/>
    <w:rsid w:val="003224A2"/>
    <w:rsid w:val="0032446C"/>
    <w:rsid w:val="0033454D"/>
    <w:rsid w:val="003346DE"/>
    <w:rsid w:val="00344662"/>
    <w:rsid w:val="00365D8F"/>
    <w:rsid w:val="003739D5"/>
    <w:rsid w:val="003B3C5A"/>
    <w:rsid w:val="003C485E"/>
    <w:rsid w:val="003D0A1E"/>
    <w:rsid w:val="003F50EC"/>
    <w:rsid w:val="003F681D"/>
    <w:rsid w:val="00404332"/>
    <w:rsid w:val="0041378F"/>
    <w:rsid w:val="00430292"/>
    <w:rsid w:val="00446C76"/>
    <w:rsid w:val="00460CAB"/>
    <w:rsid w:val="004669CA"/>
    <w:rsid w:val="00470C8D"/>
    <w:rsid w:val="0047685B"/>
    <w:rsid w:val="00491020"/>
    <w:rsid w:val="00496CCD"/>
    <w:rsid w:val="004A69E8"/>
    <w:rsid w:val="004B7AE4"/>
    <w:rsid w:val="005029A1"/>
    <w:rsid w:val="00505577"/>
    <w:rsid w:val="00505C5F"/>
    <w:rsid w:val="005134B5"/>
    <w:rsid w:val="0052565A"/>
    <w:rsid w:val="0052671C"/>
    <w:rsid w:val="00536BC3"/>
    <w:rsid w:val="00566557"/>
    <w:rsid w:val="00576873"/>
    <w:rsid w:val="0058530F"/>
    <w:rsid w:val="00591ECD"/>
    <w:rsid w:val="0059258E"/>
    <w:rsid w:val="005969BD"/>
    <w:rsid w:val="005A24A1"/>
    <w:rsid w:val="005B1C68"/>
    <w:rsid w:val="005B3E5F"/>
    <w:rsid w:val="005B650C"/>
    <w:rsid w:val="005C4386"/>
    <w:rsid w:val="005E6B5E"/>
    <w:rsid w:val="005F3440"/>
    <w:rsid w:val="00616E1F"/>
    <w:rsid w:val="006205E5"/>
    <w:rsid w:val="0065383A"/>
    <w:rsid w:val="00654A80"/>
    <w:rsid w:val="00662F58"/>
    <w:rsid w:val="00674CAD"/>
    <w:rsid w:val="00684351"/>
    <w:rsid w:val="00696AA5"/>
    <w:rsid w:val="006E7468"/>
    <w:rsid w:val="006F680E"/>
    <w:rsid w:val="00702138"/>
    <w:rsid w:val="00704254"/>
    <w:rsid w:val="00720623"/>
    <w:rsid w:val="00733EE6"/>
    <w:rsid w:val="007421B6"/>
    <w:rsid w:val="00770AEF"/>
    <w:rsid w:val="00772313"/>
    <w:rsid w:val="00780AE8"/>
    <w:rsid w:val="007A1E3C"/>
    <w:rsid w:val="007B01FA"/>
    <w:rsid w:val="007B0B79"/>
    <w:rsid w:val="007C3441"/>
    <w:rsid w:val="007D32B8"/>
    <w:rsid w:val="007D6A1D"/>
    <w:rsid w:val="00802624"/>
    <w:rsid w:val="00807A5E"/>
    <w:rsid w:val="00817B8A"/>
    <w:rsid w:val="008245B6"/>
    <w:rsid w:val="0083702C"/>
    <w:rsid w:val="00852033"/>
    <w:rsid w:val="008559D4"/>
    <w:rsid w:val="00870DCC"/>
    <w:rsid w:val="00877B76"/>
    <w:rsid w:val="00885C85"/>
    <w:rsid w:val="0088730D"/>
    <w:rsid w:val="00893232"/>
    <w:rsid w:val="008B6914"/>
    <w:rsid w:val="008C3DE6"/>
    <w:rsid w:val="008E0F08"/>
    <w:rsid w:val="008E521D"/>
    <w:rsid w:val="008E5866"/>
    <w:rsid w:val="008E60C5"/>
    <w:rsid w:val="008E634B"/>
    <w:rsid w:val="008F528A"/>
    <w:rsid w:val="009003B0"/>
    <w:rsid w:val="009018AB"/>
    <w:rsid w:val="00906C81"/>
    <w:rsid w:val="009134E9"/>
    <w:rsid w:val="0091424A"/>
    <w:rsid w:val="0091578E"/>
    <w:rsid w:val="00933B62"/>
    <w:rsid w:val="00946A42"/>
    <w:rsid w:val="00956F8A"/>
    <w:rsid w:val="009576AE"/>
    <w:rsid w:val="00963313"/>
    <w:rsid w:val="00964903"/>
    <w:rsid w:val="00966F4F"/>
    <w:rsid w:val="00985AE8"/>
    <w:rsid w:val="00996B64"/>
    <w:rsid w:val="009977D1"/>
    <w:rsid w:val="009B2E5F"/>
    <w:rsid w:val="009B4BFA"/>
    <w:rsid w:val="009B6288"/>
    <w:rsid w:val="009C20CA"/>
    <w:rsid w:val="009F0779"/>
    <w:rsid w:val="009F2C57"/>
    <w:rsid w:val="009F68FD"/>
    <w:rsid w:val="00A3193E"/>
    <w:rsid w:val="00A5317E"/>
    <w:rsid w:val="00A66899"/>
    <w:rsid w:val="00A72097"/>
    <w:rsid w:val="00A81D2B"/>
    <w:rsid w:val="00A83C9B"/>
    <w:rsid w:val="00A93C0A"/>
    <w:rsid w:val="00AD2D7E"/>
    <w:rsid w:val="00AE0B21"/>
    <w:rsid w:val="00AE7C9E"/>
    <w:rsid w:val="00AF2317"/>
    <w:rsid w:val="00AF5285"/>
    <w:rsid w:val="00B21E9D"/>
    <w:rsid w:val="00B4089C"/>
    <w:rsid w:val="00B40E18"/>
    <w:rsid w:val="00B459EB"/>
    <w:rsid w:val="00B57646"/>
    <w:rsid w:val="00B62DA7"/>
    <w:rsid w:val="00B66BA5"/>
    <w:rsid w:val="00B702CD"/>
    <w:rsid w:val="00B724F1"/>
    <w:rsid w:val="00B84CBB"/>
    <w:rsid w:val="00B92F45"/>
    <w:rsid w:val="00BA2FE7"/>
    <w:rsid w:val="00BA3808"/>
    <w:rsid w:val="00BA6B0D"/>
    <w:rsid w:val="00BD1E2D"/>
    <w:rsid w:val="00BE727F"/>
    <w:rsid w:val="00C11EA9"/>
    <w:rsid w:val="00C128E1"/>
    <w:rsid w:val="00C1301F"/>
    <w:rsid w:val="00C17873"/>
    <w:rsid w:val="00C260AC"/>
    <w:rsid w:val="00C40D33"/>
    <w:rsid w:val="00C42CC0"/>
    <w:rsid w:val="00C446C2"/>
    <w:rsid w:val="00C44F63"/>
    <w:rsid w:val="00C5645D"/>
    <w:rsid w:val="00C60014"/>
    <w:rsid w:val="00C63FD2"/>
    <w:rsid w:val="00C70053"/>
    <w:rsid w:val="00C72E76"/>
    <w:rsid w:val="00C75FE6"/>
    <w:rsid w:val="00CA3B4C"/>
    <w:rsid w:val="00CA6D68"/>
    <w:rsid w:val="00CC6F0D"/>
    <w:rsid w:val="00CD1C0E"/>
    <w:rsid w:val="00CE3465"/>
    <w:rsid w:val="00CE38CC"/>
    <w:rsid w:val="00CF1605"/>
    <w:rsid w:val="00D24201"/>
    <w:rsid w:val="00D26094"/>
    <w:rsid w:val="00D34E9A"/>
    <w:rsid w:val="00D52B11"/>
    <w:rsid w:val="00D52BC1"/>
    <w:rsid w:val="00D57A23"/>
    <w:rsid w:val="00D927D1"/>
    <w:rsid w:val="00DA5EC6"/>
    <w:rsid w:val="00DA66AC"/>
    <w:rsid w:val="00DD0364"/>
    <w:rsid w:val="00DD2A16"/>
    <w:rsid w:val="00DE0AC8"/>
    <w:rsid w:val="00E10F6C"/>
    <w:rsid w:val="00E1455E"/>
    <w:rsid w:val="00E271A3"/>
    <w:rsid w:val="00E35E57"/>
    <w:rsid w:val="00E3671D"/>
    <w:rsid w:val="00E40A9B"/>
    <w:rsid w:val="00E41124"/>
    <w:rsid w:val="00E738DC"/>
    <w:rsid w:val="00E850FE"/>
    <w:rsid w:val="00E94759"/>
    <w:rsid w:val="00EA414A"/>
    <w:rsid w:val="00EB4E5B"/>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64B7"/>
    <w:rsid w:val="00FC5055"/>
    <w:rsid w:val="00FC64BF"/>
    <w:rsid w:val="00FD0197"/>
    <w:rsid w:val="00FD7189"/>
    <w:rsid w:val="00FE2285"/>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A8F5B6"/>
  <w15:docId w15:val="{7EE0CB20-D77D-496E-BE48-363832A9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4"/>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4"/>
      </w:numPr>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4"/>
      </w:numPr>
    </w:pPr>
  </w:style>
  <w:style w:type="paragraph" w:styleId="Listepuces4">
    <w:name w:val="List Bullet 4"/>
    <w:basedOn w:val="Normal"/>
    <w:rsid w:val="001E35B9"/>
    <w:pPr>
      <w:numPr>
        <w:ilvl w:val="3"/>
        <w:numId w:val="4"/>
      </w:numPr>
    </w:pPr>
  </w:style>
  <w:style w:type="numbering" w:customStyle="1" w:styleId="ListeCerta">
    <w:name w:val="Liste Certa"/>
    <w:uiPriority w:val="99"/>
    <w:rsid w:val="0015038D"/>
    <w:pPr>
      <w:numPr>
        <w:numId w:val="8"/>
      </w:numPr>
    </w:pPr>
  </w:style>
  <w:style w:type="numbering" w:customStyle="1" w:styleId="ListeCertamanipulation">
    <w:name w:val="Liste Certa manipulation"/>
    <w:uiPriority w:val="99"/>
    <w:rsid w:val="0015038D"/>
    <w:pPr>
      <w:numPr>
        <w:numId w:val="12"/>
      </w:numPr>
    </w:pPr>
  </w:style>
  <w:style w:type="numbering" w:customStyle="1" w:styleId="ListeCertaTAF">
    <w:name w:val="Liste Certa TAF"/>
    <w:uiPriority w:val="99"/>
    <w:rsid w:val="0088730D"/>
    <w:pPr>
      <w:numPr>
        <w:numId w:val="14"/>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styleId="Mentionnonrsolue">
    <w:name w:val="Unresolved Mention"/>
    <w:basedOn w:val="Policepardfaut"/>
    <w:uiPriority w:val="99"/>
    <w:semiHidden/>
    <w:unhideWhenUsed/>
    <w:rsid w:val="002840E6"/>
    <w:rPr>
      <w:color w:val="605E5C"/>
      <w:shd w:val="clear" w:color="auto" w:fill="E1DFDD"/>
    </w:rPr>
  </w:style>
  <w:style w:type="paragraph" w:styleId="Objetducommentaire">
    <w:name w:val="annotation subject"/>
    <w:basedOn w:val="Commentaire"/>
    <w:next w:val="Commentaire"/>
    <w:link w:val="ObjetducommentaireCar"/>
    <w:semiHidden/>
    <w:unhideWhenUsed/>
    <w:rsid w:val="00985AE8"/>
    <w:pPr>
      <w:spacing w:after="0"/>
      <w:jc w:val="both"/>
    </w:pPr>
    <w:rPr>
      <w:rFonts w:ascii="Arial" w:eastAsia="Times New Roman" w:hAnsi="Arial" w:cs="Arial"/>
      <w:b/>
      <w:bCs/>
      <w:color w:val="000080"/>
    </w:rPr>
  </w:style>
  <w:style w:type="character" w:customStyle="1" w:styleId="ObjetducommentaireCar">
    <w:name w:val="Objet du commentaire Car"/>
    <w:basedOn w:val="CommentaireCar"/>
    <w:link w:val="Objetducommentaire"/>
    <w:semiHidden/>
    <w:rsid w:val="00985AE8"/>
    <w:rPr>
      <w:rFonts w:ascii="Arial" w:eastAsia="Calibri" w:hAnsi="Arial" w:cs="Arial"/>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854034755">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72647829">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32648831">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55</TotalTime>
  <Pages>1</Pages>
  <Words>1226</Words>
  <Characters>6743</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Laetitia DUBOURDIEU</dc:creator>
  <cp:lastModifiedBy>Laetitia DUBOURDIEU</cp:lastModifiedBy>
  <cp:revision>17</cp:revision>
  <cp:lastPrinted>2003-06-19T20:07:00Z</cp:lastPrinted>
  <dcterms:created xsi:type="dcterms:W3CDTF">2020-05-12T19:47:00Z</dcterms:created>
  <dcterms:modified xsi:type="dcterms:W3CDTF">2020-09-21T09:24:00Z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